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6A7" w:rsidRDefault="00701985" w:rsidP="0070198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Prime indicazioni sul rinnovo del </w:t>
      </w:r>
      <w:proofErr w:type="spellStart"/>
      <w:r>
        <w:rPr>
          <w:rFonts w:ascii="Arial" w:hAnsi="Arial" w:cs="Arial"/>
          <w:b/>
          <w:sz w:val="32"/>
          <w:szCs w:val="32"/>
        </w:rPr>
        <w:t>ccnl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dirigenti di aziende produttrici di beni e servizi</w:t>
      </w:r>
    </w:p>
    <w:p w:rsidR="00701985" w:rsidRDefault="00701985" w:rsidP="00701985">
      <w:pPr>
        <w:jc w:val="center"/>
        <w:rPr>
          <w:rFonts w:ascii="Arial" w:hAnsi="Arial" w:cs="Arial"/>
          <w:b/>
          <w:sz w:val="32"/>
          <w:szCs w:val="32"/>
        </w:rPr>
      </w:pPr>
    </w:p>
    <w:p w:rsidR="00701985" w:rsidRDefault="00701985" w:rsidP="00701985">
      <w:pPr>
        <w:jc w:val="both"/>
        <w:rPr>
          <w:rFonts w:ascii="Arial" w:hAnsi="Arial" w:cs="Arial"/>
          <w:sz w:val="28"/>
          <w:szCs w:val="28"/>
          <w:u w:val="single"/>
        </w:rPr>
      </w:pPr>
      <w:r w:rsidRPr="00701985">
        <w:rPr>
          <w:rFonts w:ascii="Arial" w:hAnsi="Arial" w:cs="Arial"/>
          <w:sz w:val="28"/>
          <w:szCs w:val="28"/>
          <w:u w:val="single"/>
        </w:rPr>
        <w:t>TMCG</w:t>
      </w:r>
    </w:p>
    <w:p w:rsidR="00701985" w:rsidRDefault="00701985" w:rsidP="00701985">
      <w:pPr>
        <w:jc w:val="both"/>
        <w:rPr>
          <w:rFonts w:ascii="Arial" w:hAnsi="Arial" w:cs="Arial"/>
          <w:sz w:val="28"/>
          <w:szCs w:val="28"/>
        </w:rPr>
      </w:pPr>
      <w:r w:rsidRPr="00701985">
        <w:rPr>
          <w:rFonts w:ascii="Arial" w:hAnsi="Arial" w:cs="Arial"/>
          <w:sz w:val="28"/>
          <w:szCs w:val="28"/>
        </w:rPr>
        <w:t xml:space="preserve">Il livello </w:t>
      </w:r>
      <w:r>
        <w:rPr>
          <w:rFonts w:ascii="Arial" w:hAnsi="Arial" w:cs="Arial"/>
          <w:sz w:val="28"/>
          <w:szCs w:val="28"/>
        </w:rPr>
        <w:t>del TMCG da assumere a riferim</w:t>
      </w:r>
      <w:r w:rsidR="00FB08EB">
        <w:rPr>
          <w:rFonts w:ascii="Arial" w:hAnsi="Arial" w:cs="Arial"/>
          <w:sz w:val="28"/>
          <w:szCs w:val="28"/>
        </w:rPr>
        <w:t xml:space="preserve">ento dal 2015, per i dirigenti </w:t>
      </w:r>
      <w:r>
        <w:rPr>
          <w:rFonts w:ascii="Arial" w:hAnsi="Arial" w:cs="Arial"/>
          <w:sz w:val="28"/>
          <w:szCs w:val="28"/>
        </w:rPr>
        <w:t>assunti o nominati dal 1° gennaio 2015</w:t>
      </w:r>
      <w:r w:rsidR="009B6A91">
        <w:rPr>
          <w:rFonts w:ascii="Arial" w:hAnsi="Arial" w:cs="Arial"/>
          <w:sz w:val="28"/>
          <w:szCs w:val="28"/>
        </w:rPr>
        <w:t>,</w:t>
      </w:r>
      <w:r w:rsidR="00A61710">
        <w:rPr>
          <w:rFonts w:ascii="Arial" w:hAnsi="Arial" w:cs="Arial"/>
          <w:sz w:val="28"/>
          <w:szCs w:val="28"/>
        </w:rPr>
        <w:t xml:space="preserve"> è di 66</w:t>
      </w:r>
      <w:r>
        <w:rPr>
          <w:rFonts w:ascii="Arial" w:hAnsi="Arial" w:cs="Arial"/>
          <w:sz w:val="28"/>
          <w:szCs w:val="28"/>
        </w:rPr>
        <w:t>.000 euro.</w:t>
      </w:r>
      <w:r w:rsidR="00727398">
        <w:rPr>
          <w:rFonts w:ascii="Arial" w:hAnsi="Arial" w:cs="Arial"/>
          <w:sz w:val="28"/>
          <w:szCs w:val="28"/>
        </w:rPr>
        <w:t xml:space="preserve"> Lo stesso livello di TMCG è riconosciuto a tutti i dirigenti che, al 1° gennaio 2015, abbiano maturato una anzianità </w:t>
      </w:r>
      <w:r w:rsidR="00FB08EB">
        <w:rPr>
          <w:rFonts w:ascii="Arial" w:hAnsi="Arial" w:cs="Arial"/>
          <w:sz w:val="28"/>
          <w:szCs w:val="28"/>
        </w:rPr>
        <w:t xml:space="preserve">di servizio </w:t>
      </w:r>
      <w:r w:rsidR="00727398">
        <w:rPr>
          <w:rFonts w:ascii="Arial" w:hAnsi="Arial" w:cs="Arial"/>
          <w:sz w:val="28"/>
          <w:szCs w:val="28"/>
        </w:rPr>
        <w:t>nella qualifica e nell’azienda pari o inferiore a dodici mesi.</w:t>
      </w:r>
    </w:p>
    <w:p w:rsidR="009B6A91" w:rsidRDefault="00701985" w:rsidP="00701985">
      <w:pPr>
        <w:jc w:val="both"/>
        <w:rPr>
          <w:rFonts w:ascii="Arial" w:hAnsi="Arial" w:cs="Arial"/>
          <w:sz w:val="28"/>
          <w:szCs w:val="28"/>
        </w:rPr>
      </w:pPr>
      <w:r w:rsidRPr="00FB08EB">
        <w:rPr>
          <w:rFonts w:ascii="Arial" w:hAnsi="Arial" w:cs="Arial"/>
          <w:sz w:val="28"/>
          <w:szCs w:val="28"/>
          <w:u w:val="single"/>
        </w:rPr>
        <w:t>Il secondo livello del TMCG viene definitivamente superato</w:t>
      </w:r>
      <w:r>
        <w:rPr>
          <w:rFonts w:ascii="Arial" w:hAnsi="Arial" w:cs="Arial"/>
          <w:sz w:val="28"/>
          <w:szCs w:val="28"/>
        </w:rPr>
        <w:t xml:space="preserve">. </w:t>
      </w:r>
    </w:p>
    <w:p w:rsidR="009B6A91" w:rsidRDefault="00A61710" w:rsidP="0070198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ragione del superamento del secondo livello,</w:t>
      </w:r>
      <w:r w:rsidRPr="00A6171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le parti hanno concordato, a favore de</w:t>
      </w:r>
      <w:r w:rsidR="00727398">
        <w:rPr>
          <w:rFonts w:ascii="Arial" w:hAnsi="Arial" w:cs="Arial"/>
          <w:sz w:val="28"/>
          <w:szCs w:val="28"/>
        </w:rPr>
        <w:t xml:space="preserve">i </w:t>
      </w:r>
      <w:r>
        <w:rPr>
          <w:rFonts w:ascii="Arial" w:hAnsi="Arial" w:cs="Arial"/>
          <w:sz w:val="28"/>
          <w:szCs w:val="28"/>
        </w:rPr>
        <w:t xml:space="preserve">dirigenti </w:t>
      </w:r>
      <w:r w:rsidR="009B6A91">
        <w:rPr>
          <w:rFonts w:ascii="Arial" w:hAnsi="Arial" w:cs="Arial"/>
          <w:sz w:val="28"/>
          <w:szCs w:val="28"/>
        </w:rPr>
        <w:t xml:space="preserve">con una anzianità </w:t>
      </w:r>
      <w:r w:rsidR="00FB08EB">
        <w:rPr>
          <w:rFonts w:ascii="Arial" w:hAnsi="Arial" w:cs="Arial"/>
          <w:sz w:val="28"/>
          <w:szCs w:val="28"/>
        </w:rPr>
        <w:t xml:space="preserve">di servizio </w:t>
      </w:r>
      <w:r w:rsidR="009B6A91">
        <w:rPr>
          <w:rFonts w:ascii="Arial" w:hAnsi="Arial" w:cs="Arial"/>
          <w:sz w:val="28"/>
          <w:szCs w:val="28"/>
        </w:rPr>
        <w:t>nella qualifica</w:t>
      </w:r>
      <w:r w:rsidR="00FB08EB">
        <w:rPr>
          <w:rFonts w:ascii="Arial" w:hAnsi="Arial" w:cs="Arial"/>
          <w:sz w:val="28"/>
          <w:szCs w:val="28"/>
        </w:rPr>
        <w:t xml:space="preserve"> e nell’azienda</w:t>
      </w:r>
      <w:r w:rsidR="009B6A91">
        <w:rPr>
          <w:rFonts w:ascii="Arial" w:hAnsi="Arial" w:cs="Arial"/>
          <w:sz w:val="28"/>
          <w:szCs w:val="28"/>
        </w:rPr>
        <w:t>, al 1° gennaio 2015, superiore all’</w:t>
      </w:r>
      <w:r>
        <w:rPr>
          <w:rFonts w:ascii="Arial" w:hAnsi="Arial" w:cs="Arial"/>
          <w:sz w:val="28"/>
          <w:szCs w:val="28"/>
        </w:rPr>
        <w:t xml:space="preserve">anno, </w:t>
      </w:r>
      <w:r w:rsidR="009B6A91">
        <w:rPr>
          <w:rFonts w:ascii="Arial" w:hAnsi="Arial" w:cs="Arial"/>
          <w:sz w:val="28"/>
          <w:szCs w:val="28"/>
        </w:rPr>
        <w:t>una peculiare disciplina del livello del TMCG applicabile dal 2015.</w:t>
      </w:r>
    </w:p>
    <w:p w:rsidR="00701985" w:rsidRDefault="00132462" w:rsidP="0070198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logica sottesa a</w:t>
      </w:r>
      <w:r w:rsidR="009B6A91">
        <w:rPr>
          <w:rFonts w:ascii="Arial" w:hAnsi="Arial" w:cs="Arial"/>
          <w:sz w:val="28"/>
          <w:szCs w:val="28"/>
        </w:rPr>
        <w:t xml:space="preserve"> questa particolare disciplina</w:t>
      </w:r>
      <w:r>
        <w:rPr>
          <w:rFonts w:ascii="Arial" w:hAnsi="Arial" w:cs="Arial"/>
          <w:sz w:val="28"/>
          <w:szCs w:val="28"/>
        </w:rPr>
        <w:t>,</w:t>
      </w:r>
      <w:r w:rsidR="009B6A91">
        <w:rPr>
          <w:rFonts w:ascii="Arial" w:hAnsi="Arial" w:cs="Arial"/>
          <w:sz w:val="28"/>
          <w:szCs w:val="28"/>
        </w:rPr>
        <w:t xml:space="preserve"> è così riassumibile:</w:t>
      </w:r>
    </w:p>
    <w:p w:rsidR="009B6A91" w:rsidRDefault="00A61710" w:rsidP="009B6A91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="009B6A91">
        <w:rPr>
          <w:rFonts w:ascii="Arial" w:hAnsi="Arial" w:cs="Arial"/>
          <w:sz w:val="28"/>
          <w:szCs w:val="28"/>
        </w:rPr>
        <w:t>l sesto anno i dirigenti avrebbero maturato il secondo livello</w:t>
      </w:r>
      <w:r w:rsidR="00132462">
        <w:rPr>
          <w:rFonts w:ascii="Arial" w:hAnsi="Arial" w:cs="Arial"/>
          <w:sz w:val="28"/>
          <w:szCs w:val="28"/>
        </w:rPr>
        <w:t xml:space="preserve"> di TMCG</w:t>
      </w:r>
      <w:r w:rsidR="009B6A91">
        <w:rPr>
          <w:rFonts w:ascii="Arial" w:hAnsi="Arial" w:cs="Arial"/>
          <w:sz w:val="28"/>
          <w:szCs w:val="28"/>
        </w:rPr>
        <w:t>;</w:t>
      </w:r>
    </w:p>
    <w:p w:rsidR="009B6A91" w:rsidRDefault="00132462" w:rsidP="009B6A91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</w:t>
      </w:r>
      <w:r w:rsidR="009B6A91">
        <w:rPr>
          <w:rFonts w:ascii="Arial" w:hAnsi="Arial" w:cs="Arial"/>
          <w:sz w:val="28"/>
          <w:szCs w:val="28"/>
        </w:rPr>
        <w:t>l secondo livello è stato</w:t>
      </w:r>
      <w:r>
        <w:rPr>
          <w:rFonts w:ascii="Arial" w:hAnsi="Arial" w:cs="Arial"/>
          <w:sz w:val="28"/>
          <w:szCs w:val="28"/>
        </w:rPr>
        <w:t>, invece,</w:t>
      </w:r>
      <w:r w:rsidR="009B6A91">
        <w:rPr>
          <w:rFonts w:ascii="Arial" w:hAnsi="Arial" w:cs="Arial"/>
          <w:sz w:val="28"/>
          <w:szCs w:val="28"/>
        </w:rPr>
        <w:t xml:space="preserve"> superato</w:t>
      </w:r>
      <w:r>
        <w:rPr>
          <w:rFonts w:ascii="Arial" w:hAnsi="Arial" w:cs="Arial"/>
          <w:sz w:val="28"/>
          <w:szCs w:val="28"/>
        </w:rPr>
        <w:t xml:space="preserve"> dall’accordo di rinnovo</w:t>
      </w:r>
      <w:r w:rsidR="009B6A91">
        <w:rPr>
          <w:rFonts w:ascii="Arial" w:hAnsi="Arial" w:cs="Arial"/>
          <w:sz w:val="28"/>
          <w:szCs w:val="28"/>
        </w:rPr>
        <w:t>;</w:t>
      </w:r>
    </w:p>
    <w:p w:rsidR="009B6A91" w:rsidRDefault="009B6A91" w:rsidP="009B6A91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dirigenti tra il primo e il</w:t>
      </w:r>
      <w:r w:rsidR="00132462">
        <w:rPr>
          <w:rFonts w:ascii="Arial" w:hAnsi="Arial" w:cs="Arial"/>
          <w:sz w:val="28"/>
          <w:szCs w:val="28"/>
        </w:rPr>
        <w:t xml:space="preserve"> sesto anno di anzianità vedono,</w:t>
      </w:r>
      <w:r>
        <w:rPr>
          <w:rFonts w:ascii="Arial" w:hAnsi="Arial" w:cs="Arial"/>
          <w:sz w:val="28"/>
          <w:szCs w:val="28"/>
        </w:rPr>
        <w:t xml:space="preserve"> pertanto</w:t>
      </w:r>
      <w:r w:rsidR="00132462">
        <w:rPr>
          <w:rFonts w:ascii="Arial" w:hAnsi="Arial" w:cs="Arial"/>
          <w:sz w:val="28"/>
          <w:szCs w:val="28"/>
        </w:rPr>
        <w:t>, disattesa l’</w:t>
      </w:r>
      <w:r>
        <w:rPr>
          <w:rFonts w:ascii="Arial" w:hAnsi="Arial" w:cs="Arial"/>
          <w:sz w:val="28"/>
          <w:szCs w:val="28"/>
        </w:rPr>
        <w:t>aspettativa di maturare il secondo livello</w:t>
      </w:r>
      <w:r w:rsidR="00132462">
        <w:rPr>
          <w:rFonts w:ascii="Arial" w:hAnsi="Arial" w:cs="Arial"/>
          <w:sz w:val="28"/>
          <w:szCs w:val="28"/>
        </w:rPr>
        <w:t>;</w:t>
      </w:r>
    </w:p>
    <w:p w:rsidR="009B6A91" w:rsidRDefault="00132462" w:rsidP="009B6A91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 è, allora,</w:t>
      </w:r>
      <w:r w:rsidR="009B6A91">
        <w:rPr>
          <w:rFonts w:ascii="Arial" w:hAnsi="Arial" w:cs="Arial"/>
          <w:sz w:val="28"/>
          <w:szCs w:val="28"/>
        </w:rPr>
        <w:t xml:space="preserve"> concordato di “cristallizzare” l’aspettativa ma</w:t>
      </w:r>
      <w:r w:rsidR="00FB08EB">
        <w:rPr>
          <w:rFonts w:ascii="Arial" w:hAnsi="Arial" w:cs="Arial"/>
          <w:sz w:val="28"/>
          <w:szCs w:val="28"/>
        </w:rPr>
        <w:t>turanda, riconoscendo un livello</w:t>
      </w:r>
      <w:r w:rsidR="009B6A91">
        <w:rPr>
          <w:rFonts w:ascii="Arial" w:hAnsi="Arial" w:cs="Arial"/>
          <w:sz w:val="28"/>
          <w:szCs w:val="28"/>
        </w:rPr>
        <w:t xml:space="preserve"> </w:t>
      </w:r>
      <w:r w:rsidR="00FB08EB">
        <w:rPr>
          <w:rFonts w:ascii="Arial" w:hAnsi="Arial" w:cs="Arial"/>
          <w:sz w:val="28"/>
          <w:szCs w:val="28"/>
        </w:rPr>
        <w:t xml:space="preserve">del TMCG </w:t>
      </w:r>
      <w:r>
        <w:rPr>
          <w:rFonts w:ascii="Arial" w:hAnsi="Arial" w:cs="Arial"/>
          <w:sz w:val="28"/>
          <w:szCs w:val="28"/>
        </w:rPr>
        <w:t xml:space="preserve">che verrà </w:t>
      </w:r>
      <w:r w:rsidR="009B6A91">
        <w:rPr>
          <w:rFonts w:ascii="Arial" w:hAnsi="Arial" w:cs="Arial"/>
          <w:sz w:val="28"/>
          <w:szCs w:val="28"/>
        </w:rPr>
        <w:t>determinato sulla base dei m</w:t>
      </w:r>
      <w:r>
        <w:rPr>
          <w:rFonts w:ascii="Arial" w:hAnsi="Arial" w:cs="Arial"/>
          <w:sz w:val="28"/>
          <w:szCs w:val="28"/>
        </w:rPr>
        <w:t>esi di servizio maturati al 1° gennaio del 2015, secondo i</w:t>
      </w:r>
      <w:r w:rsidR="009B6A91">
        <w:rPr>
          <w:rFonts w:ascii="Arial" w:hAnsi="Arial" w:cs="Arial"/>
          <w:sz w:val="28"/>
          <w:szCs w:val="28"/>
        </w:rPr>
        <w:t xml:space="preserve">l seguente calcolo: </w:t>
      </w:r>
    </w:p>
    <w:p w:rsidR="005D3685" w:rsidRDefault="005D3685" w:rsidP="005D3685">
      <w:pPr>
        <w:pStyle w:val="Paragrafoelenco"/>
        <w:ind w:left="1440"/>
        <w:jc w:val="both"/>
        <w:rPr>
          <w:rFonts w:ascii="Arial" w:hAnsi="Arial" w:cs="Arial"/>
          <w:sz w:val="28"/>
          <w:szCs w:val="28"/>
        </w:rPr>
      </w:pPr>
    </w:p>
    <w:p w:rsidR="009B6A91" w:rsidRDefault="009B6A91" w:rsidP="005D3685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differenza tra il primo e il secondo livello di TMCG era pari a 17.000 euro</w:t>
      </w:r>
      <w:r w:rsidR="005D3685">
        <w:rPr>
          <w:rFonts w:ascii="Arial" w:hAnsi="Arial" w:cs="Arial"/>
          <w:sz w:val="28"/>
          <w:szCs w:val="28"/>
        </w:rPr>
        <w:t xml:space="preserve"> (80.000 – 63.000 = 17.000);</w:t>
      </w:r>
    </w:p>
    <w:p w:rsidR="005D3685" w:rsidRDefault="005D3685" w:rsidP="005D3685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i 17.000 euro di differenza sarebbero stati maturati dopo 72 mesi di servizio (6 anni);</w:t>
      </w:r>
    </w:p>
    <w:p w:rsidR="005D3685" w:rsidRDefault="005D3685" w:rsidP="005D3685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B938D0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>l dirigente con anzianità superiore ai dodici mesi</w:t>
      </w:r>
      <w:r w:rsidR="007F3734">
        <w:rPr>
          <w:rStyle w:val="Rimandonotaapidipagina"/>
          <w:rFonts w:ascii="Arial" w:hAnsi="Arial" w:cs="Arial"/>
          <w:sz w:val="28"/>
          <w:szCs w:val="28"/>
        </w:rPr>
        <w:footnoteReference w:id="1"/>
      </w:r>
      <w:r>
        <w:rPr>
          <w:rFonts w:ascii="Arial" w:hAnsi="Arial" w:cs="Arial"/>
          <w:sz w:val="28"/>
          <w:szCs w:val="28"/>
        </w:rPr>
        <w:t xml:space="preserve"> viene riconosciuto, ai fini della determinazione del suo livel</w:t>
      </w:r>
      <w:r w:rsidR="00FB08EB">
        <w:rPr>
          <w:rFonts w:ascii="Arial" w:hAnsi="Arial" w:cs="Arial"/>
          <w:sz w:val="28"/>
          <w:szCs w:val="28"/>
        </w:rPr>
        <w:t xml:space="preserve">lo di TMCG, un settantaduesimo </w:t>
      </w:r>
      <w:r>
        <w:rPr>
          <w:rFonts w:ascii="Arial" w:hAnsi="Arial" w:cs="Arial"/>
          <w:sz w:val="28"/>
          <w:szCs w:val="28"/>
        </w:rPr>
        <w:t xml:space="preserve">di 17.000 euro per ciascun mese di anzianità </w:t>
      </w:r>
      <w:r>
        <w:rPr>
          <w:rFonts w:ascii="Arial" w:hAnsi="Arial" w:cs="Arial"/>
          <w:sz w:val="28"/>
          <w:szCs w:val="28"/>
        </w:rPr>
        <w:lastRenderedPageBreak/>
        <w:t>maturata</w:t>
      </w:r>
      <w:r w:rsidR="00132462">
        <w:rPr>
          <w:rFonts w:ascii="Arial" w:hAnsi="Arial" w:cs="Arial"/>
          <w:sz w:val="28"/>
          <w:szCs w:val="28"/>
        </w:rPr>
        <w:t xml:space="preserve"> </w:t>
      </w:r>
      <w:r w:rsidR="007F3734">
        <w:rPr>
          <w:rFonts w:ascii="Arial" w:hAnsi="Arial" w:cs="Arial"/>
          <w:sz w:val="28"/>
          <w:szCs w:val="28"/>
        </w:rPr>
        <w:t>nella qualifica</w:t>
      </w:r>
      <w:r w:rsidR="00FB08EB">
        <w:rPr>
          <w:rFonts w:ascii="Arial" w:hAnsi="Arial" w:cs="Arial"/>
          <w:sz w:val="28"/>
          <w:szCs w:val="28"/>
        </w:rPr>
        <w:t xml:space="preserve"> e nell’azienda</w:t>
      </w:r>
      <w:r w:rsidR="007F3734">
        <w:rPr>
          <w:rFonts w:ascii="Arial" w:hAnsi="Arial" w:cs="Arial"/>
          <w:sz w:val="28"/>
          <w:szCs w:val="28"/>
        </w:rPr>
        <w:t xml:space="preserve">, </w:t>
      </w:r>
      <w:r w:rsidR="00132462">
        <w:rPr>
          <w:rFonts w:ascii="Arial" w:hAnsi="Arial" w:cs="Arial"/>
          <w:sz w:val="28"/>
          <w:szCs w:val="28"/>
        </w:rPr>
        <w:t>al 1° gennaio del 2015</w:t>
      </w:r>
      <w:r>
        <w:rPr>
          <w:rFonts w:ascii="Arial" w:hAnsi="Arial" w:cs="Arial"/>
          <w:sz w:val="28"/>
          <w:szCs w:val="28"/>
        </w:rPr>
        <w:t>, settantaduesimo che è stato convenzionalmente arrotondato a 236 euro;</w:t>
      </w:r>
    </w:p>
    <w:p w:rsidR="005D3685" w:rsidRDefault="00B938D0" w:rsidP="005D3685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="005D3685">
        <w:rPr>
          <w:rFonts w:ascii="Arial" w:hAnsi="Arial" w:cs="Arial"/>
          <w:sz w:val="28"/>
          <w:szCs w:val="28"/>
        </w:rPr>
        <w:t xml:space="preserve">ale importo mensile si aggiunge alla base di calcolo di 63.000 euro, ossia al primo livello di TMCG che trovava applicazione fino al 31 dicembre del 2014; </w:t>
      </w:r>
    </w:p>
    <w:p w:rsidR="00B938D0" w:rsidRDefault="00B938D0" w:rsidP="005D3685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</w:t>
      </w:r>
      <w:r w:rsidR="005D3685">
        <w:rPr>
          <w:rFonts w:ascii="Arial" w:hAnsi="Arial" w:cs="Arial"/>
          <w:sz w:val="28"/>
          <w:szCs w:val="28"/>
        </w:rPr>
        <w:t>e deriva che, ad esempio, un dirigente con 32 mesi di anzianità nella qualifica</w:t>
      </w:r>
      <w:r w:rsidR="00FB08EB">
        <w:rPr>
          <w:rFonts w:ascii="Arial" w:hAnsi="Arial" w:cs="Arial"/>
          <w:sz w:val="28"/>
          <w:szCs w:val="28"/>
        </w:rPr>
        <w:t xml:space="preserve"> e nell’azienda</w:t>
      </w:r>
      <w:r w:rsidR="005D3685">
        <w:rPr>
          <w:rFonts w:ascii="Arial" w:hAnsi="Arial" w:cs="Arial"/>
          <w:sz w:val="28"/>
          <w:szCs w:val="28"/>
        </w:rPr>
        <w:t xml:space="preserve">, vedrà fissato il suo TMCG nella misura pari a </w:t>
      </w:r>
      <w:r>
        <w:rPr>
          <w:rFonts w:ascii="Arial" w:hAnsi="Arial" w:cs="Arial"/>
          <w:sz w:val="28"/>
          <w:szCs w:val="28"/>
        </w:rPr>
        <w:t>70.552 euro (236 X 32 = 70.552).</w:t>
      </w:r>
    </w:p>
    <w:p w:rsidR="00FB08EB" w:rsidRDefault="00FB08EB" w:rsidP="00FB08EB">
      <w:pPr>
        <w:pStyle w:val="Paragrafoelenco"/>
        <w:ind w:left="1440"/>
        <w:jc w:val="both"/>
        <w:rPr>
          <w:rFonts w:ascii="Arial" w:hAnsi="Arial" w:cs="Arial"/>
          <w:sz w:val="28"/>
          <w:szCs w:val="28"/>
        </w:rPr>
      </w:pPr>
    </w:p>
    <w:p w:rsidR="00B938D0" w:rsidRDefault="00B938D0" w:rsidP="00B938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Altri esempi sono inseriti nel testo dell’accordo.</w:t>
      </w:r>
    </w:p>
    <w:p w:rsidR="007911BD" w:rsidRDefault="007911BD" w:rsidP="00B938D0">
      <w:pPr>
        <w:jc w:val="both"/>
        <w:rPr>
          <w:rFonts w:ascii="Arial" w:hAnsi="Arial" w:cs="Arial"/>
          <w:sz w:val="28"/>
          <w:szCs w:val="28"/>
        </w:rPr>
      </w:pPr>
    </w:p>
    <w:p w:rsidR="007911BD" w:rsidRDefault="007911BD" w:rsidP="00B938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Nell’accordo di rinnovo viene espressamente previsto che il calcolo delle anzianità</w:t>
      </w:r>
      <w:r w:rsidR="00CE2E8B">
        <w:rPr>
          <w:rFonts w:ascii="Arial" w:hAnsi="Arial" w:cs="Arial"/>
          <w:sz w:val="28"/>
          <w:szCs w:val="28"/>
        </w:rPr>
        <w:t>, anche ai fini di cui sopra,</w:t>
      </w:r>
      <w:r>
        <w:rPr>
          <w:rFonts w:ascii="Arial" w:hAnsi="Arial" w:cs="Arial"/>
          <w:sz w:val="28"/>
          <w:szCs w:val="28"/>
        </w:rPr>
        <w:t xml:space="preserve"> viene effettuato secondo il criterio di cui all’art. 26, comma 2, del </w:t>
      </w:r>
      <w:proofErr w:type="spellStart"/>
      <w:r>
        <w:rPr>
          <w:rFonts w:ascii="Arial" w:hAnsi="Arial" w:cs="Arial"/>
          <w:sz w:val="28"/>
          <w:szCs w:val="28"/>
        </w:rPr>
        <w:t>ccnl</w:t>
      </w:r>
      <w:proofErr w:type="spellEnd"/>
      <w:r>
        <w:rPr>
          <w:rFonts w:ascii="Arial" w:hAnsi="Arial" w:cs="Arial"/>
          <w:sz w:val="28"/>
          <w:szCs w:val="28"/>
        </w:rPr>
        <w:t>, cosicch</w:t>
      </w:r>
      <w:r w:rsidR="00AC5330">
        <w:rPr>
          <w:rFonts w:ascii="Arial" w:hAnsi="Arial" w:cs="Arial"/>
          <w:sz w:val="28"/>
          <w:szCs w:val="28"/>
        </w:rPr>
        <w:t>é</w:t>
      </w:r>
      <w:r>
        <w:rPr>
          <w:rFonts w:ascii="Arial" w:hAnsi="Arial" w:cs="Arial"/>
          <w:sz w:val="28"/>
          <w:szCs w:val="28"/>
        </w:rPr>
        <w:t>, ad esempio, si maturerà il tredicesimo mese di anzianità al sedicesimo giorno successivo ai dodici mesi di anzianità.</w:t>
      </w:r>
    </w:p>
    <w:p w:rsidR="00B938D0" w:rsidRDefault="00B938D0" w:rsidP="00B938D0">
      <w:pPr>
        <w:jc w:val="both"/>
        <w:rPr>
          <w:rFonts w:ascii="Arial" w:hAnsi="Arial" w:cs="Arial"/>
          <w:sz w:val="28"/>
          <w:szCs w:val="28"/>
        </w:rPr>
      </w:pPr>
    </w:p>
    <w:p w:rsidR="005D3685" w:rsidRDefault="00B938D0" w:rsidP="00B938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>Scatti di anzianità</w:t>
      </w:r>
      <w:r w:rsidR="005D3685" w:rsidRPr="00B938D0">
        <w:rPr>
          <w:rFonts w:ascii="Arial" w:hAnsi="Arial" w:cs="Arial"/>
          <w:sz w:val="28"/>
          <w:szCs w:val="28"/>
        </w:rPr>
        <w:t xml:space="preserve"> </w:t>
      </w:r>
    </w:p>
    <w:p w:rsidR="00B938D0" w:rsidRDefault="00B938D0" w:rsidP="00B938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Viene prorogata la precedente disciplina transitoria fino al 2017. </w:t>
      </w:r>
    </w:p>
    <w:p w:rsidR="00B938D0" w:rsidRDefault="00B938D0" w:rsidP="00B938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 richiama l’attenzione sul fatto che gli importi riconosciuti a titolo di scatti possono essere assorbiti da eventuali aumenti economici strutturali riconosciuti al dirigente a far data dal 2009.</w:t>
      </w:r>
    </w:p>
    <w:p w:rsidR="00B938D0" w:rsidRDefault="00B938D0" w:rsidP="00B938D0">
      <w:pPr>
        <w:jc w:val="both"/>
        <w:rPr>
          <w:rFonts w:ascii="Arial" w:hAnsi="Arial" w:cs="Arial"/>
          <w:sz w:val="28"/>
          <w:szCs w:val="28"/>
        </w:rPr>
      </w:pPr>
    </w:p>
    <w:p w:rsidR="00B938D0" w:rsidRDefault="00B938D0" w:rsidP="00B938D0">
      <w:pPr>
        <w:jc w:val="both"/>
        <w:rPr>
          <w:rFonts w:ascii="Arial" w:hAnsi="Arial" w:cs="Arial"/>
          <w:sz w:val="28"/>
          <w:szCs w:val="28"/>
          <w:u w:val="single"/>
        </w:rPr>
      </w:pPr>
      <w:r w:rsidRPr="00B938D0">
        <w:rPr>
          <w:rFonts w:ascii="Arial" w:hAnsi="Arial" w:cs="Arial"/>
          <w:sz w:val="28"/>
          <w:szCs w:val="28"/>
          <w:u w:val="single"/>
        </w:rPr>
        <w:t>MBO</w:t>
      </w:r>
    </w:p>
    <w:p w:rsidR="00B938D0" w:rsidRDefault="00B938D0" w:rsidP="00B938D0">
      <w:pPr>
        <w:jc w:val="both"/>
        <w:rPr>
          <w:rFonts w:ascii="Arial" w:hAnsi="Arial" w:cs="Arial"/>
          <w:sz w:val="28"/>
          <w:szCs w:val="28"/>
        </w:rPr>
      </w:pPr>
      <w:r w:rsidRPr="00B938D0">
        <w:rPr>
          <w:rFonts w:ascii="Arial" w:hAnsi="Arial" w:cs="Arial"/>
          <w:sz w:val="28"/>
          <w:szCs w:val="28"/>
        </w:rPr>
        <w:t>La nuova disciplina dell</w:t>
      </w:r>
      <w:r>
        <w:rPr>
          <w:rFonts w:ascii="Arial" w:hAnsi="Arial" w:cs="Arial"/>
          <w:sz w:val="28"/>
          <w:szCs w:val="28"/>
        </w:rPr>
        <w:t xml:space="preserve">’MBO </w:t>
      </w:r>
      <w:r w:rsidR="0034549D">
        <w:rPr>
          <w:rFonts w:ascii="Arial" w:hAnsi="Arial" w:cs="Arial"/>
          <w:sz w:val="28"/>
          <w:szCs w:val="28"/>
        </w:rPr>
        <w:t>prevede che</w:t>
      </w:r>
      <w:r w:rsidR="00234E3E">
        <w:rPr>
          <w:rFonts w:ascii="Arial" w:hAnsi="Arial" w:cs="Arial"/>
          <w:sz w:val="28"/>
          <w:szCs w:val="28"/>
        </w:rPr>
        <w:t>,</w:t>
      </w:r>
      <w:r w:rsidR="0034549D">
        <w:rPr>
          <w:rFonts w:ascii="Arial" w:hAnsi="Arial" w:cs="Arial"/>
          <w:sz w:val="28"/>
          <w:szCs w:val="28"/>
        </w:rPr>
        <w:t xml:space="preserve"> qualora il trattamento economico annuo lordo del dirigente sia pari al TMCG, come sopra definito, le aziende dovranno adottare sistemi di retribuzione variabile: ne consegue che tale disp</w:t>
      </w:r>
      <w:r w:rsidR="00234E3E">
        <w:rPr>
          <w:rFonts w:ascii="Arial" w:hAnsi="Arial" w:cs="Arial"/>
          <w:sz w:val="28"/>
          <w:szCs w:val="28"/>
        </w:rPr>
        <w:t>osizione non si applica se il</w:t>
      </w:r>
      <w:r w:rsidR="0034549D">
        <w:rPr>
          <w:rFonts w:ascii="Arial" w:hAnsi="Arial" w:cs="Arial"/>
          <w:sz w:val="28"/>
          <w:szCs w:val="28"/>
        </w:rPr>
        <w:t xml:space="preserve"> trattamento economico a</w:t>
      </w:r>
      <w:r w:rsidR="00FB08EB">
        <w:rPr>
          <w:rFonts w:ascii="Arial" w:hAnsi="Arial" w:cs="Arial"/>
          <w:sz w:val="28"/>
          <w:szCs w:val="28"/>
        </w:rPr>
        <w:t>nnuo lordo del dirigente sia</w:t>
      </w:r>
      <w:r w:rsidR="0034549D">
        <w:rPr>
          <w:rFonts w:ascii="Arial" w:hAnsi="Arial" w:cs="Arial"/>
          <w:sz w:val="28"/>
          <w:szCs w:val="28"/>
        </w:rPr>
        <w:t xml:space="preserve"> superiore al TMCG di riferimento.</w:t>
      </w:r>
    </w:p>
    <w:p w:rsidR="0034549D" w:rsidRDefault="0034549D" w:rsidP="00B938D0">
      <w:pPr>
        <w:jc w:val="both"/>
        <w:rPr>
          <w:rFonts w:ascii="Arial" w:hAnsi="Arial" w:cs="Arial"/>
          <w:sz w:val="28"/>
          <w:szCs w:val="28"/>
        </w:rPr>
      </w:pPr>
    </w:p>
    <w:p w:rsidR="00234E3E" w:rsidRDefault="00234E3E" w:rsidP="00B938D0">
      <w:pPr>
        <w:jc w:val="both"/>
        <w:rPr>
          <w:rFonts w:ascii="Arial" w:hAnsi="Arial" w:cs="Arial"/>
          <w:sz w:val="28"/>
          <w:szCs w:val="28"/>
        </w:rPr>
      </w:pPr>
    </w:p>
    <w:p w:rsidR="00234E3E" w:rsidRDefault="00234E3E" w:rsidP="00B938D0">
      <w:pPr>
        <w:jc w:val="both"/>
        <w:rPr>
          <w:rFonts w:ascii="Arial" w:hAnsi="Arial" w:cs="Arial"/>
          <w:sz w:val="28"/>
          <w:szCs w:val="28"/>
        </w:rPr>
      </w:pPr>
    </w:p>
    <w:p w:rsidR="0034549D" w:rsidRDefault="0034549D" w:rsidP="0034549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>Trasferte e missioni</w:t>
      </w:r>
      <w:r w:rsidRPr="00B938D0">
        <w:rPr>
          <w:rFonts w:ascii="Arial" w:hAnsi="Arial" w:cs="Arial"/>
          <w:sz w:val="28"/>
          <w:szCs w:val="28"/>
        </w:rPr>
        <w:t xml:space="preserve"> </w:t>
      </w:r>
    </w:p>
    <w:p w:rsidR="0034549D" w:rsidRDefault="0034549D" w:rsidP="0034549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nuova disciplina dell’istituto prevede, anzitutto, la salvezza di eventuali intese aziendali o individuali: ciò significa che le prassi in atto vengono “riconosciute” dal contratto.</w:t>
      </w:r>
    </w:p>
    <w:p w:rsidR="0034549D" w:rsidRDefault="0034549D" w:rsidP="0034549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difetto di intese aziendali o individuali, la disciplina rimane quella previgente, con una precisazione in ordine ai periodi di trasferta che danno diritto al riconoscimento dell’indennità fissa: si precisa, cioè, che l’indennità sarà riconosciuta per ogni periodo di 12 ore di trasferta nell’arco di 24 dalla partenza del dirigente.</w:t>
      </w:r>
    </w:p>
    <w:p w:rsidR="00552507" w:rsidRDefault="00552507" w:rsidP="0034549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Viene altresì meno il tetto delle due settimane: pertanto le aziende, in caso di trasferte prolungate, ben potranno stabilire specifiche intese con il dirigente.</w:t>
      </w:r>
    </w:p>
    <w:p w:rsidR="00552507" w:rsidRDefault="00552507" w:rsidP="0034549D">
      <w:pPr>
        <w:jc w:val="both"/>
        <w:rPr>
          <w:rFonts w:ascii="Arial" w:hAnsi="Arial" w:cs="Arial"/>
          <w:sz w:val="28"/>
          <w:szCs w:val="28"/>
        </w:rPr>
      </w:pPr>
    </w:p>
    <w:p w:rsidR="00552507" w:rsidRDefault="00552507" w:rsidP="00552507">
      <w:pPr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Disciplina della risoluzione del rapporto</w:t>
      </w:r>
    </w:p>
    <w:p w:rsidR="00552507" w:rsidRDefault="00552507" w:rsidP="00552507">
      <w:pPr>
        <w:jc w:val="both"/>
        <w:rPr>
          <w:rFonts w:ascii="Arial" w:hAnsi="Arial" w:cs="Arial"/>
          <w:sz w:val="28"/>
          <w:szCs w:val="28"/>
        </w:rPr>
      </w:pPr>
      <w:r w:rsidRPr="00552507">
        <w:rPr>
          <w:rFonts w:ascii="Arial" w:hAnsi="Arial" w:cs="Arial"/>
          <w:sz w:val="28"/>
          <w:szCs w:val="28"/>
        </w:rPr>
        <w:t>Anzitutto</w:t>
      </w:r>
      <w:r w:rsidR="00A07C7D">
        <w:rPr>
          <w:rFonts w:ascii="Arial" w:hAnsi="Arial" w:cs="Arial"/>
          <w:sz w:val="28"/>
          <w:szCs w:val="28"/>
        </w:rPr>
        <w:t>,</w:t>
      </w:r>
      <w:r w:rsidRPr="0055250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va segnalato che viene mod</w:t>
      </w:r>
      <w:r w:rsidR="00FB08EB">
        <w:rPr>
          <w:rFonts w:ascii="Arial" w:hAnsi="Arial" w:cs="Arial"/>
          <w:sz w:val="28"/>
          <w:szCs w:val="28"/>
        </w:rPr>
        <w:t>ificato l’art. 22 del</w:t>
      </w:r>
      <w:r>
        <w:rPr>
          <w:rFonts w:ascii="Arial" w:hAnsi="Arial" w:cs="Arial"/>
          <w:sz w:val="28"/>
          <w:szCs w:val="28"/>
        </w:rPr>
        <w:t xml:space="preserve"> contratto</w:t>
      </w:r>
      <w:r w:rsidR="00FB08EB">
        <w:rPr>
          <w:rFonts w:ascii="Arial" w:hAnsi="Arial" w:cs="Arial"/>
          <w:sz w:val="28"/>
          <w:szCs w:val="28"/>
        </w:rPr>
        <w:t xml:space="preserve"> previgente</w:t>
      </w:r>
      <w:r>
        <w:rPr>
          <w:rFonts w:ascii="Arial" w:hAnsi="Arial" w:cs="Arial"/>
          <w:sz w:val="28"/>
          <w:szCs w:val="28"/>
        </w:rPr>
        <w:t>, portando a 67 anni, sia per gli uomini che per le donne, l’età al maturare della quale il dirigente non è più assistito dalle specifiche tutele contrattuali.</w:t>
      </w:r>
    </w:p>
    <w:p w:rsidR="00552507" w:rsidRDefault="00552507" w:rsidP="00552507">
      <w:pPr>
        <w:jc w:val="both"/>
        <w:rPr>
          <w:rFonts w:ascii="Arial" w:hAnsi="Arial" w:cs="Arial"/>
          <w:sz w:val="28"/>
          <w:szCs w:val="28"/>
        </w:rPr>
      </w:pPr>
    </w:p>
    <w:p w:rsidR="00552507" w:rsidRPr="00552507" w:rsidRDefault="00552507" w:rsidP="0055250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Inoltre, sono stati ridefiniti gli importi, di natura omnicomprensiva, dovuti in caso di licenziamento ingiustificato, nel modo seguente:</w:t>
      </w:r>
      <w:r w:rsidRPr="00552507">
        <w:rPr>
          <w:rFonts w:ascii="Arial" w:hAnsi="Arial" w:cs="Arial"/>
          <w:sz w:val="28"/>
          <w:szCs w:val="28"/>
        </w:rPr>
        <w:t xml:space="preserve"> </w:t>
      </w:r>
    </w:p>
    <w:p w:rsidR="00552507" w:rsidRDefault="00552507" w:rsidP="0034549D">
      <w:pPr>
        <w:jc w:val="both"/>
        <w:rPr>
          <w:rFonts w:ascii="Arial" w:hAnsi="Arial" w:cs="Arial"/>
          <w:sz w:val="28"/>
          <w:szCs w:val="28"/>
        </w:rPr>
      </w:pPr>
    </w:p>
    <w:p w:rsidR="00A35FCF" w:rsidRPr="00A35FCF" w:rsidRDefault="00A35FCF" w:rsidP="00A35FCF">
      <w:pPr>
        <w:pStyle w:val="Corpodeltesto"/>
        <w:numPr>
          <w:ilvl w:val="0"/>
          <w:numId w:val="2"/>
        </w:numPr>
        <w:rPr>
          <w:rFonts w:eastAsia="Calibri" w:cs="Arial"/>
          <w:sz w:val="28"/>
          <w:szCs w:val="28"/>
          <w:lang w:eastAsia="en-US"/>
        </w:rPr>
      </w:pPr>
      <w:r w:rsidRPr="00A35FCF">
        <w:rPr>
          <w:rFonts w:eastAsia="Calibri" w:cs="Arial"/>
          <w:sz w:val="28"/>
          <w:szCs w:val="28"/>
          <w:lang w:eastAsia="en-US"/>
        </w:rPr>
        <w:t>fino a due anni di anzianità aziendale due mensilità pari al corrispettivo del preavviso;</w:t>
      </w:r>
    </w:p>
    <w:p w:rsidR="00A35FCF" w:rsidRPr="00A35FCF" w:rsidRDefault="00A35FCF" w:rsidP="00A35FCF">
      <w:pPr>
        <w:pStyle w:val="Corpodeltesto"/>
        <w:numPr>
          <w:ilvl w:val="0"/>
          <w:numId w:val="2"/>
        </w:numPr>
        <w:rPr>
          <w:rFonts w:eastAsia="Calibri" w:cs="Arial"/>
          <w:sz w:val="28"/>
          <w:szCs w:val="28"/>
          <w:lang w:eastAsia="en-US"/>
        </w:rPr>
      </w:pPr>
      <w:r w:rsidRPr="00A35FCF">
        <w:rPr>
          <w:rFonts w:eastAsia="Calibri" w:cs="Arial"/>
          <w:sz w:val="28"/>
          <w:szCs w:val="28"/>
          <w:lang w:eastAsia="en-US"/>
        </w:rPr>
        <w:t xml:space="preserve"> oltre a due e sino a sei anni di anzianità aziendale, da 4 a 8 mensilità pari al corrispettivo del preavviso;</w:t>
      </w:r>
    </w:p>
    <w:p w:rsidR="00A35FCF" w:rsidRPr="00A35FCF" w:rsidRDefault="00A35FCF" w:rsidP="00A35FCF">
      <w:pPr>
        <w:pStyle w:val="Corpodeltesto"/>
        <w:numPr>
          <w:ilvl w:val="0"/>
          <w:numId w:val="2"/>
        </w:numPr>
        <w:rPr>
          <w:rFonts w:eastAsia="Calibri" w:cs="Arial"/>
          <w:sz w:val="28"/>
          <w:szCs w:val="28"/>
          <w:lang w:eastAsia="en-US"/>
        </w:rPr>
      </w:pPr>
      <w:r w:rsidRPr="00A35FCF">
        <w:rPr>
          <w:rFonts w:eastAsia="Calibri" w:cs="Arial"/>
          <w:sz w:val="28"/>
          <w:szCs w:val="28"/>
          <w:lang w:eastAsia="en-US"/>
        </w:rPr>
        <w:t xml:space="preserve"> oltre i sei e sino a dieci anni di anzianità aziendale, da 8 a 12 mensilità pari al corrispettivo del preavviso;</w:t>
      </w:r>
    </w:p>
    <w:p w:rsidR="00A35FCF" w:rsidRPr="00A35FCF" w:rsidRDefault="00A35FCF" w:rsidP="00A35FCF">
      <w:pPr>
        <w:pStyle w:val="Corpodeltesto"/>
        <w:numPr>
          <w:ilvl w:val="0"/>
          <w:numId w:val="2"/>
        </w:numPr>
        <w:rPr>
          <w:rFonts w:eastAsia="Calibri" w:cs="Arial"/>
          <w:sz w:val="28"/>
          <w:szCs w:val="28"/>
          <w:lang w:eastAsia="en-US"/>
        </w:rPr>
      </w:pPr>
      <w:r w:rsidRPr="00A35FCF">
        <w:rPr>
          <w:rFonts w:eastAsia="Calibri" w:cs="Arial"/>
          <w:sz w:val="28"/>
          <w:szCs w:val="28"/>
          <w:lang w:eastAsia="en-US"/>
        </w:rPr>
        <w:t>oltre i dieci e sino a quindici anni di anzianità aziendale, da 12 a 18 mensilità pari al corrispettivo del preavviso;</w:t>
      </w:r>
    </w:p>
    <w:p w:rsidR="00A35FCF" w:rsidRPr="00A35FCF" w:rsidRDefault="00A35FCF" w:rsidP="00A35FCF">
      <w:pPr>
        <w:pStyle w:val="Corpodeltesto"/>
        <w:numPr>
          <w:ilvl w:val="0"/>
          <w:numId w:val="2"/>
        </w:numPr>
        <w:rPr>
          <w:rFonts w:eastAsia="Calibri" w:cs="Arial"/>
          <w:sz w:val="28"/>
          <w:szCs w:val="28"/>
          <w:lang w:eastAsia="en-US"/>
        </w:rPr>
      </w:pPr>
      <w:r w:rsidRPr="00A35FCF">
        <w:rPr>
          <w:rFonts w:eastAsia="Calibri" w:cs="Arial"/>
          <w:sz w:val="28"/>
          <w:szCs w:val="28"/>
          <w:lang w:eastAsia="en-US"/>
        </w:rPr>
        <w:t>oltre quindici anni di anzianità aziendale, da 18 a 24 mensilità pari al corrispettivo del preavviso.</w:t>
      </w:r>
    </w:p>
    <w:p w:rsidR="00552507" w:rsidRDefault="00552507" w:rsidP="0034549D">
      <w:pPr>
        <w:jc w:val="both"/>
        <w:rPr>
          <w:rFonts w:ascii="Arial" w:hAnsi="Arial" w:cs="Arial"/>
          <w:sz w:val="28"/>
          <w:szCs w:val="28"/>
        </w:rPr>
      </w:pPr>
    </w:p>
    <w:p w:rsidR="00552507" w:rsidRDefault="00A35FCF" w:rsidP="0034549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Viene, infine, precisato che la disciplina dei licenziamenti individuali non è applicabile a quelli collettivi, che rimangono disciplinati in base alla legge.</w:t>
      </w:r>
    </w:p>
    <w:p w:rsidR="00A35FCF" w:rsidRDefault="00A35FCF" w:rsidP="00A35FCF">
      <w:pPr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Preavviso</w:t>
      </w:r>
    </w:p>
    <w:p w:rsidR="0034549D" w:rsidRDefault="00A35FCF" w:rsidP="00B938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Sono stati ridefinite le durate del periodo di preavviso nel modo seguente</w:t>
      </w:r>
      <w:r w:rsidR="00340B54">
        <w:rPr>
          <w:rFonts w:ascii="Arial" w:hAnsi="Arial" w:cs="Arial"/>
          <w:sz w:val="28"/>
          <w:szCs w:val="28"/>
        </w:rPr>
        <w:t>:</w:t>
      </w:r>
    </w:p>
    <w:p w:rsidR="00234E3E" w:rsidRPr="00234E3E" w:rsidRDefault="00234E3E" w:rsidP="00234E3E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Cs/>
          <w:iCs/>
          <w:sz w:val="28"/>
          <w:szCs w:val="28"/>
        </w:rPr>
      </w:pPr>
      <w:r w:rsidRPr="00234E3E">
        <w:rPr>
          <w:rFonts w:ascii="Arial" w:eastAsia="Calibri" w:hAnsi="Arial" w:cs="Arial"/>
          <w:bCs/>
          <w:iCs/>
          <w:sz w:val="28"/>
          <w:szCs w:val="28"/>
        </w:rPr>
        <w:t>mesi 6 di preavviso per i dirigenti fino a sei anni di anzianità aziendale;</w:t>
      </w:r>
    </w:p>
    <w:p w:rsidR="00340B54" w:rsidRPr="00340B54" w:rsidRDefault="00340B54" w:rsidP="00340B54">
      <w:pPr>
        <w:numPr>
          <w:ilvl w:val="0"/>
          <w:numId w:val="3"/>
        </w:numPr>
        <w:spacing w:after="0"/>
        <w:ind w:hanging="357"/>
        <w:jc w:val="both"/>
        <w:rPr>
          <w:rFonts w:ascii="Arial" w:eastAsia="Calibri" w:hAnsi="Arial" w:cs="Arial"/>
          <w:bCs/>
          <w:iCs/>
          <w:sz w:val="28"/>
          <w:szCs w:val="28"/>
        </w:rPr>
      </w:pPr>
      <w:r w:rsidRPr="00340B54">
        <w:rPr>
          <w:rFonts w:ascii="Arial" w:eastAsia="Calibri" w:hAnsi="Arial" w:cs="Arial"/>
          <w:bCs/>
          <w:iCs/>
          <w:sz w:val="28"/>
          <w:szCs w:val="28"/>
        </w:rPr>
        <w:t>mesi 8 di preavviso per i dirigenti fino a dieci anni di anzianità aziendale;</w:t>
      </w:r>
    </w:p>
    <w:p w:rsidR="00340B54" w:rsidRPr="00340B54" w:rsidRDefault="00340B54" w:rsidP="00340B54">
      <w:pPr>
        <w:numPr>
          <w:ilvl w:val="0"/>
          <w:numId w:val="3"/>
        </w:numPr>
        <w:spacing w:after="0"/>
        <w:ind w:hanging="357"/>
        <w:jc w:val="both"/>
        <w:rPr>
          <w:rFonts w:ascii="Arial" w:eastAsia="Calibri" w:hAnsi="Arial" w:cs="Arial"/>
          <w:bCs/>
          <w:iCs/>
          <w:sz w:val="28"/>
          <w:szCs w:val="28"/>
        </w:rPr>
      </w:pPr>
      <w:r w:rsidRPr="00340B54">
        <w:rPr>
          <w:rFonts w:ascii="Arial" w:eastAsia="Calibri" w:hAnsi="Arial" w:cs="Arial"/>
          <w:bCs/>
          <w:iCs/>
          <w:sz w:val="28"/>
          <w:szCs w:val="28"/>
        </w:rPr>
        <w:t>mesi 10 di preavviso per i dirigenti fino a quindici anni di anzianità aziendale;</w:t>
      </w:r>
    </w:p>
    <w:p w:rsidR="00340B54" w:rsidRDefault="00340B54" w:rsidP="00340B54">
      <w:pPr>
        <w:numPr>
          <w:ilvl w:val="0"/>
          <w:numId w:val="3"/>
        </w:numPr>
        <w:spacing w:after="0"/>
        <w:ind w:hanging="357"/>
        <w:jc w:val="both"/>
        <w:rPr>
          <w:rFonts w:ascii="Arial" w:eastAsia="Calibri" w:hAnsi="Arial" w:cs="Arial"/>
          <w:bCs/>
          <w:iCs/>
          <w:sz w:val="28"/>
          <w:szCs w:val="28"/>
        </w:rPr>
      </w:pPr>
      <w:r w:rsidRPr="00340B54">
        <w:rPr>
          <w:rFonts w:ascii="Arial" w:eastAsia="Calibri" w:hAnsi="Arial" w:cs="Arial"/>
          <w:bCs/>
          <w:iCs/>
          <w:sz w:val="28"/>
          <w:szCs w:val="28"/>
        </w:rPr>
        <w:t>mesi 12 di preavviso per i dirigenti oltre quindici anni di anzianità aziendale.</w:t>
      </w:r>
    </w:p>
    <w:p w:rsidR="00234E3E" w:rsidRPr="00340B54" w:rsidRDefault="00234E3E" w:rsidP="00234E3E">
      <w:pPr>
        <w:spacing w:after="0"/>
        <w:jc w:val="both"/>
        <w:rPr>
          <w:rFonts w:ascii="Arial" w:eastAsia="Calibri" w:hAnsi="Arial" w:cs="Arial"/>
          <w:bCs/>
          <w:iCs/>
          <w:sz w:val="28"/>
          <w:szCs w:val="28"/>
        </w:rPr>
      </w:pPr>
    </w:p>
    <w:p w:rsidR="00340B54" w:rsidRDefault="00340B54" w:rsidP="00340B54">
      <w:pPr>
        <w:ind w:left="505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GSR/FASI</w:t>
      </w:r>
    </w:p>
    <w:p w:rsidR="00340B54" w:rsidRDefault="00340B54" w:rsidP="00340B54">
      <w:pPr>
        <w:ind w:left="505"/>
        <w:jc w:val="both"/>
        <w:rPr>
          <w:rFonts w:ascii="Arial" w:hAnsi="Arial" w:cs="Arial"/>
          <w:sz w:val="28"/>
          <w:szCs w:val="28"/>
        </w:rPr>
      </w:pPr>
      <w:r w:rsidRPr="00340B54">
        <w:rPr>
          <w:rFonts w:ascii="Arial" w:hAnsi="Arial" w:cs="Arial"/>
          <w:sz w:val="28"/>
          <w:szCs w:val="28"/>
        </w:rPr>
        <w:t xml:space="preserve">Anzitutto </w:t>
      </w:r>
      <w:r>
        <w:rPr>
          <w:rFonts w:ascii="Arial" w:hAnsi="Arial" w:cs="Arial"/>
          <w:sz w:val="28"/>
          <w:szCs w:val="28"/>
        </w:rPr>
        <w:t xml:space="preserve">va segnalato che, a far data dal 1° gennaio del 2015, viene definitivamente meno la previgente disciplina del </w:t>
      </w:r>
      <w:r w:rsidRPr="00340B54">
        <w:rPr>
          <w:rFonts w:ascii="Arial" w:hAnsi="Arial" w:cs="Arial"/>
          <w:sz w:val="28"/>
          <w:szCs w:val="28"/>
        </w:rPr>
        <w:t>GSR/FASI</w:t>
      </w:r>
      <w:r>
        <w:rPr>
          <w:rFonts w:ascii="Arial" w:hAnsi="Arial" w:cs="Arial"/>
          <w:sz w:val="28"/>
          <w:szCs w:val="28"/>
        </w:rPr>
        <w:t xml:space="preserve"> per quanto attiene al sostegno al reddito dei dirigenti licenziati.</w:t>
      </w:r>
    </w:p>
    <w:p w:rsidR="00340B54" w:rsidRDefault="00340B54" w:rsidP="00340B54">
      <w:pPr>
        <w:ind w:left="505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Nel contempo, viene previsto il mantenimento del versamento, a carico delle imprese, di Euro 100 per ciascun dirigente in servizio, anche al fine di finanziare le </w:t>
      </w:r>
      <w:r w:rsidRPr="00340B54">
        <w:rPr>
          <w:rFonts w:ascii="Arial" w:eastAsia="Calibri" w:hAnsi="Arial" w:cs="Arial"/>
          <w:sz w:val="28"/>
          <w:szCs w:val="28"/>
        </w:rPr>
        <w:t>prestazioni dovute ai dirigenti che, licenzi</w:t>
      </w:r>
      <w:r w:rsidR="007C72E8">
        <w:rPr>
          <w:rFonts w:ascii="Arial" w:hAnsi="Arial" w:cs="Arial"/>
          <w:sz w:val="28"/>
          <w:szCs w:val="28"/>
        </w:rPr>
        <w:t xml:space="preserve">ati entro il 31 dicembre 2014, </w:t>
      </w:r>
      <w:r w:rsidRPr="00340B54">
        <w:rPr>
          <w:rFonts w:ascii="Arial" w:eastAsia="Calibri" w:hAnsi="Arial" w:cs="Arial"/>
          <w:sz w:val="28"/>
          <w:szCs w:val="28"/>
        </w:rPr>
        <w:t xml:space="preserve">presenteranno la domanda </w:t>
      </w:r>
      <w:r w:rsidR="007C72E8">
        <w:rPr>
          <w:rFonts w:ascii="Arial" w:hAnsi="Arial" w:cs="Arial"/>
          <w:sz w:val="28"/>
          <w:szCs w:val="28"/>
        </w:rPr>
        <w:t xml:space="preserve">di sostegno al reddito </w:t>
      </w:r>
      <w:r w:rsidRPr="00340B54">
        <w:rPr>
          <w:rFonts w:ascii="Arial" w:eastAsia="Calibri" w:hAnsi="Arial" w:cs="Arial"/>
          <w:sz w:val="28"/>
          <w:szCs w:val="28"/>
        </w:rPr>
        <w:t>entro il 31 gennaio 2015, ancorché in decorrenza del preavviso</w:t>
      </w:r>
      <w:r w:rsidR="007C72E8">
        <w:rPr>
          <w:rFonts w:ascii="Arial" w:hAnsi="Arial" w:cs="Arial"/>
          <w:sz w:val="28"/>
          <w:szCs w:val="28"/>
        </w:rPr>
        <w:t>.</w:t>
      </w:r>
    </w:p>
    <w:p w:rsidR="00101DFF" w:rsidRDefault="007C72E8" w:rsidP="00340B54">
      <w:pPr>
        <w:ind w:left="505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Dal 2016 il contributo aziendale è elevato a Euro 200</w:t>
      </w:r>
      <w:r w:rsidR="00101DFF">
        <w:rPr>
          <w:rFonts w:ascii="Arial" w:hAnsi="Arial" w:cs="Arial"/>
          <w:sz w:val="28"/>
          <w:szCs w:val="28"/>
        </w:rPr>
        <w:t>.</w:t>
      </w:r>
      <w:r w:rsidR="00391490">
        <w:rPr>
          <w:rFonts w:ascii="Arial" w:hAnsi="Arial" w:cs="Arial"/>
          <w:sz w:val="28"/>
          <w:szCs w:val="28"/>
        </w:rPr>
        <w:t xml:space="preserve"> Se le parti riterranno necessario reperire ulteriori risorse potrà essere chiesto un contributo al dirigente in servizio di ammontare non superiore al 50% del contributo dovuto dal datore di lavoro.</w:t>
      </w:r>
    </w:p>
    <w:p w:rsidR="007C72E8" w:rsidRDefault="00101DFF" w:rsidP="00340B54">
      <w:pPr>
        <w:ind w:left="505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 nuove prestazioni erogate dal GSR/FASI</w:t>
      </w:r>
      <w:r w:rsidR="007C72E8">
        <w:rPr>
          <w:rFonts w:ascii="Arial" w:hAnsi="Arial" w:cs="Arial"/>
          <w:sz w:val="28"/>
          <w:szCs w:val="28"/>
        </w:rPr>
        <w:t>, per un periodo non superiore a 12 mesi, a favore di dirigenti licenziati che non abbiano maturato il diritto ad una prestazione pensionistica</w:t>
      </w:r>
      <w:r>
        <w:rPr>
          <w:rFonts w:ascii="Arial" w:hAnsi="Arial" w:cs="Arial"/>
          <w:sz w:val="28"/>
          <w:szCs w:val="28"/>
        </w:rPr>
        <w:t>, saranno le seguenti</w:t>
      </w:r>
      <w:r w:rsidR="007C72E8">
        <w:rPr>
          <w:rFonts w:ascii="Arial" w:hAnsi="Arial" w:cs="Arial"/>
          <w:sz w:val="28"/>
          <w:szCs w:val="28"/>
        </w:rPr>
        <w:t>:</w:t>
      </w:r>
    </w:p>
    <w:p w:rsidR="007C72E8" w:rsidRDefault="00E81C9F" w:rsidP="007C72E8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copertura sanitaria F</w:t>
      </w:r>
      <w:r w:rsidR="007C72E8" w:rsidRPr="007C72E8">
        <w:rPr>
          <w:rFonts w:ascii="Arial" w:hAnsi="Arial" w:cs="Arial"/>
          <w:sz w:val="28"/>
          <w:szCs w:val="28"/>
        </w:rPr>
        <w:t>asi e integrativa Fasi;</w:t>
      </w:r>
    </w:p>
    <w:p w:rsidR="007C72E8" w:rsidRPr="007C72E8" w:rsidRDefault="007C72E8" w:rsidP="007C72E8">
      <w:pPr>
        <w:pStyle w:val="Paragrafoelenco"/>
        <w:jc w:val="both"/>
        <w:rPr>
          <w:rFonts w:ascii="Arial" w:hAnsi="Arial" w:cs="Arial"/>
          <w:sz w:val="28"/>
          <w:szCs w:val="28"/>
        </w:rPr>
      </w:pPr>
    </w:p>
    <w:p w:rsidR="007C72E8" w:rsidRDefault="007C72E8" w:rsidP="007C72E8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copertura assicurativa per</w:t>
      </w:r>
      <w:r w:rsidR="007755E3">
        <w:rPr>
          <w:rFonts w:ascii="Arial" w:hAnsi="Arial" w:cs="Arial"/>
          <w:sz w:val="28"/>
          <w:szCs w:val="28"/>
        </w:rPr>
        <w:t xml:space="preserve"> morte o invalidità permanente </w:t>
      </w:r>
      <w:r w:rsidR="007755E3" w:rsidRPr="007755E3">
        <w:rPr>
          <w:rFonts w:ascii="Arial" w:eastAsia="Calibri" w:hAnsi="Arial" w:cs="Arial"/>
          <w:sz w:val="28"/>
          <w:szCs w:val="28"/>
        </w:rPr>
        <w:t>(tale da ridurre in misura superiore ai 2/3 la capacità lavorativa specifica del dirigente), per una somma non superiore</w:t>
      </w:r>
      <w:r w:rsidR="007755E3">
        <w:rPr>
          <w:rFonts w:ascii="Arial" w:hAnsi="Arial" w:cs="Arial"/>
          <w:sz w:val="28"/>
          <w:szCs w:val="28"/>
        </w:rPr>
        <w:t>, in prima applicazione,</w:t>
      </w:r>
      <w:r w:rsidR="007755E3" w:rsidRPr="007755E3">
        <w:rPr>
          <w:rFonts w:ascii="Arial" w:eastAsia="Calibri" w:hAnsi="Arial" w:cs="Arial"/>
          <w:sz w:val="28"/>
          <w:szCs w:val="28"/>
        </w:rPr>
        <w:t xml:space="preserve"> a 100.000 euro</w:t>
      </w:r>
      <w:r w:rsidR="007755E3">
        <w:rPr>
          <w:rFonts w:ascii="Arial" w:hAnsi="Arial" w:cs="Arial"/>
          <w:sz w:val="28"/>
          <w:szCs w:val="28"/>
        </w:rPr>
        <w:t>;</w:t>
      </w:r>
    </w:p>
    <w:p w:rsidR="007755E3" w:rsidRPr="007755E3" w:rsidRDefault="007755E3" w:rsidP="007755E3">
      <w:pPr>
        <w:pStyle w:val="Paragrafoelenco"/>
        <w:rPr>
          <w:rFonts w:ascii="Arial" w:hAnsi="Arial" w:cs="Arial"/>
          <w:sz w:val="28"/>
          <w:szCs w:val="28"/>
        </w:rPr>
      </w:pPr>
    </w:p>
    <w:p w:rsidR="007755E3" w:rsidRPr="007C72E8" w:rsidRDefault="007755E3" w:rsidP="007C72E8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7755E3">
        <w:rPr>
          <w:rFonts w:ascii="Arial" w:eastAsia="Calibri" w:hAnsi="Arial" w:cs="Arial"/>
          <w:sz w:val="28"/>
          <w:szCs w:val="28"/>
        </w:rPr>
        <w:t xml:space="preserve"> iniziative di politiche attive, nonché di orientamento</w:t>
      </w:r>
      <w:r w:rsidR="00391490">
        <w:rPr>
          <w:rFonts w:ascii="Arial" w:eastAsia="Calibri" w:hAnsi="Arial" w:cs="Arial"/>
          <w:sz w:val="28"/>
          <w:szCs w:val="28"/>
        </w:rPr>
        <w:t>,</w:t>
      </w:r>
      <w:r w:rsidRPr="007755E3">
        <w:rPr>
          <w:rFonts w:ascii="Arial" w:eastAsia="Calibri" w:hAnsi="Arial" w:cs="Arial"/>
          <w:sz w:val="28"/>
          <w:szCs w:val="28"/>
        </w:rPr>
        <w:t xml:space="preserve"> formazione </w:t>
      </w:r>
      <w:r w:rsidR="00391490">
        <w:rPr>
          <w:rFonts w:ascii="Arial" w:eastAsia="Calibri" w:hAnsi="Arial" w:cs="Arial"/>
          <w:sz w:val="28"/>
          <w:szCs w:val="28"/>
        </w:rPr>
        <w:t xml:space="preserve">e </w:t>
      </w:r>
      <w:proofErr w:type="spellStart"/>
      <w:r w:rsidR="00391490">
        <w:rPr>
          <w:rFonts w:ascii="Arial" w:eastAsia="Calibri" w:hAnsi="Arial" w:cs="Arial"/>
          <w:sz w:val="28"/>
          <w:szCs w:val="28"/>
        </w:rPr>
        <w:t>placement</w:t>
      </w:r>
      <w:proofErr w:type="spellEnd"/>
      <w:r w:rsidR="00391490">
        <w:rPr>
          <w:rFonts w:ascii="Arial" w:eastAsia="Calibri" w:hAnsi="Arial" w:cs="Arial"/>
          <w:sz w:val="28"/>
          <w:szCs w:val="28"/>
        </w:rPr>
        <w:t xml:space="preserve"> </w:t>
      </w:r>
      <w:r w:rsidRPr="007755E3">
        <w:rPr>
          <w:rFonts w:ascii="Arial" w:eastAsia="Calibri" w:hAnsi="Arial" w:cs="Arial"/>
          <w:sz w:val="28"/>
          <w:szCs w:val="28"/>
        </w:rPr>
        <w:t xml:space="preserve">anche in coerenza con le modifiche legislative che dovessero intervenire in materia, da sostenere in una logica di </w:t>
      </w:r>
      <w:proofErr w:type="spellStart"/>
      <w:r w:rsidRPr="007755E3">
        <w:rPr>
          <w:rFonts w:ascii="Arial" w:eastAsia="Calibri" w:hAnsi="Arial" w:cs="Arial"/>
          <w:sz w:val="28"/>
          <w:szCs w:val="28"/>
        </w:rPr>
        <w:t>premialità</w:t>
      </w:r>
      <w:proofErr w:type="spellEnd"/>
      <w:r w:rsidRPr="007755E3">
        <w:rPr>
          <w:rFonts w:ascii="Arial" w:eastAsia="Calibri" w:hAnsi="Arial" w:cs="Arial"/>
          <w:sz w:val="28"/>
          <w:szCs w:val="28"/>
        </w:rPr>
        <w:t xml:space="preserve"> “a risultato</w:t>
      </w:r>
      <w:r>
        <w:rPr>
          <w:rFonts w:ascii="Arial" w:hAnsi="Arial" w:cs="Arial"/>
          <w:sz w:val="28"/>
          <w:szCs w:val="28"/>
        </w:rPr>
        <w:t>”.</w:t>
      </w:r>
    </w:p>
    <w:p w:rsidR="007C72E8" w:rsidRPr="00340B54" w:rsidRDefault="007C72E8" w:rsidP="00340B54">
      <w:pPr>
        <w:ind w:left="505"/>
        <w:jc w:val="both"/>
        <w:rPr>
          <w:rFonts w:ascii="Arial" w:hAnsi="Arial" w:cs="Arial"/>
          <w:sz w:val="28"/>
          <w:szCs w:val="28"/>
        </w:rPr>
      </w:pPr>
    </w:p>
    <w:p w:rsidR="00273E5C" w:rsidRDefault="00273E5C" w:rsidP="00273E5C">
      <w:pPr>
        <w:ind w:left="505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FASI</w:t>
      </w:r>
    </w:p>
    <w:p w:rsidR="00EC765F" w:rsidRPr="00EC765F" w:rsidRDefault="00EC765F" w:rsidP="001636F6">
      <w:pP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Gli andamenti non positivi degli ultimi bilanci ha</w:t>
      </w:r>
      <w:r w:rsidR="001636F6">
        <w:rPr>
          <w:rFonts w:ascii="Arial" w:hAnsi="Arial" w:cs="Arial"/>
          <w:sz w:val="28"/>
          <w:szCs w:val="28"/>
        </w:rPr>
        <w:t xml:space="preserve">nno indotto le parti contraenti sia a </w:t>
      </w:r>
      <w:r w:rsidRPr="00EC765F">
        <w:rPr>
          <w:rFonts w:ascii="Arial" w:hAnsi="Arial" w:cs="Arial"/>
          <w:sz w:val="28"/>
          <w:szCs w:val="28"/>
        </w:rPr>
        <w:t>conferire al Consiglio di Amministrazione del Fondo una mag</w:t>
      </w:r>
      <w:r w:rsidR="001636F6">
        <w:rPr>
          <w:rFonts w:ascii="Arial" w:hAnsi="Arial" w:cs="Arial"/>
          <w:sz w:val="28"/>
          <w:szCs w:val="28"/>
        </w:rPr>
        <w:t>giore responsabilità gestionale</w:t>
      </w:r>
      <w:r w:rsidRPr="00EC765F">
        <w:rPr>
          <w:rFonts w:ascii="Arial" w:hAnsi="Arial" w:cs="Arial"/>
          <w:sz w:val="28"/>
          <w:szCs w:val="28"/>
        </w:rPr>
        <w:t xml:space="preserve"> </w:t>
      </w:r>
      <w:r w:rsidR="001636F6">
        <w:rPr>
          <w:rFonts w:ascii="Arial" w:hAnsi="Arial" w:cs="Arial"/>
          <w:sz w:val="28"/>
          <w:szCs w:val="28"/>
        </w:rPr>
        <w:t>(</w:t>
      </w:r>
      <w:r w:rsidRPr="00EC765F">
        <w:rPr>
          <w:rFonts w:ascii="Arial" w:hAnsi="Arial" w:cs="Arial"/>
          <w:sz w:val="28"/>
          <w:szCs w:val="28"/>
        </w:rPr>
        <w:t>con l’obiettivo di perseguire l’equ</w:t>
      </w:r>
      <w:r>
        <w:rPr>
          <w:rFonts w:ascii="Arial" w:hAnsi="Arial" w:cs="Arial"/>
          <w:sz w:val="28"/>
          <w:szCs w:val="28"/>
        </w:rPr>
        <w:t>ilibrio finanziario del Fondo</w:t>
      </w:r>
      <w:r w:rsidR="001636F6">
        <w:rPr>
          <w:rFonts w:ascii="Arial" w:hAnsi="Arial" w:cs="Arial"/>
          <w:sz w:val="28"/>
          <w:szCs w:val="28"/>
        </w:rPr>
        <w:t xml:space="preserve">) sia </w:t>
      </w:r>
      <w:r w:rsidRPr="00EC765F">
        <w:rPr>
          <w:rFonts w:ascii="Arial" w:hAnsi="Arial" w:cs="Arial"/>
          <w:sz w:val="28"/>
          <w:szCs w:val="28"/>
        </w:rPr>
        <w:t>a riveder</w:t>
      </w:r>
      <w:r w:rsidR="001636F6">
        <w:rPr>
          <w:rFonts w:ascii="Arial" w:hAnsi="Arial" w:cs="Arial"/>
          <w:sz w:val="28"/>
          <w:szCs w:val="28"/>
        </w:rPr>
        <w:t>ne la governante,</w:t>
      </w:r>
      <w:r w:rsidRPr="00EC765F">
        <w:rPr>
          <w:rFonts w:ascii="Arial" w:hAnsi="Arial" w:cs="Arial"/>
          <w:sz w:val="28"/>
          <w:szCs w:val="28"/>
        </w:rPr>
        <w:t xml:space="preserve"> introducendo l’organo assembleare</w:t>
      </w:r>
      <w:r w:rsidR="001636F6">
        <w:rPr>
          <w:rFonts w:ascii="Arial" w:hAnsi="Arial" w:cs="Arial"/>
          <w:sz w:val="28"/>
          <w:szCs w:val="28"/>
        </w:rPr>
        <w:t>,</w:t>
      </w:r>
      <w:r w:rsidRPr="00EC765F">
        <w:rPr>
          <w:rFonts w:ascii="Arial" w:hAnsi="Arial" w:cs="Arial"/>
          <w:sz w:val="28"/>
          <w:szCs w:val="28"/>
        </w:rPr>
        <w:t xml:space="preserve"> costituito pariteticamente</w:t>
      </w:r>
      <w:r w:rsidR="001636F6">
        <w:rPr>
          <w:rFonts w:ascii="Arial" w:hAnsi="Arial" w:cs="Arial"/>
          <w:sz w:val="28"/>
          <w:szCs w:val="28"/>
        </w:rPr>
        <w:t xml:space="preserve"> dai rappresentanti delle parti</w:t>
      </w:r>
      <w:r>
        <w:rPr>
          <w:rFonts w:ascii="Arial" w:hAnsi="Arial" w:cs="Arial"/>
          <w:sz w:val="28"/>
          <w:szCs w:val="28"/>
        </w:rPr>
        <w:t>.</w:t>
      </w:r>
    </w:p>
    <w:p w:rsidR="00EC765F" w:rsidRPr="00EC765F" w:rsidRDefault="00EC765F" w:rsidP="00EC765F">
      <w:pPr>
        <w:ind w:left="505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 così, vengono stabiliti </w:t>
      </w:r>
      <w:r w:rsidR="001636F6">
        <w:rPr>
          <w:rFonts w:ascii="Arial" w:hAnsi="Arial" w:cs="Arial"/>
          <w:sz w:val="28"/>
          <w:szCs w:val="28"/>
        </w:rPr>
        <w:t xml:space="preserve">direttamente </w:t>
      </w:r>
      <w:r>
        <w:rPr>
          <w:rFonts w:ascii="Arial" w:hAnsi="Arial" w:cs="Arial"/>
          <w:sz w:val="28"/>
          <w:szCs w:val="28"/>
        </w:rPr>
        <w:t xml:space="preserve">dal contratto collettivo, ma solo per l’anno 2015, gli aumenti di </w:t>
      </w:r>
      <w:r w:rsidRPr="00EC765F">
        <w:rPr>
          <w:rFonts w:ascii="Arial" w:hAnsi="Arial" w:cs="Arial"/>
          <w:sz w:val="28"/>
          <w:szCs w:val="28"/>
        </w:rPr>
        <w:t>quote contri</w:t>
      </w:r>
      <w:r>
        <w:rPr>
          <w:rFonts w:ascii="Arial" w:hAnsi="Arial" w:cs="Arial"/>
          <w:sz w:val="28"/>
          <w:szCs w:val="28"/>
        </w:rPr>
        <w:t xml:space="preserve">butive </w:t>
      </w:r>
      <w:r w:rsidRPr="00EC765F">
        <w:rPr>
          <w:rFonts w:ascii="Arial" w:hAnsi="Arial" w:cs="Arial"/>
          <w:sz w:val="28"/>
          <w:szCs w:val="28"/>
        </w:rPr>
        <w:t>a far data dal 1° gennaio 2015</w:t>
      </w:r>
      <w:r>
        <w:rPr>
          <w:rFonts w:ascii="Arial" w:hAnsi="Arial" w:cs="Arial"/>
          <w:sz w:val="28"/>
          <w:szCs w:val="28"/>
        </w:rPr>
        <w:t xml:space="preserve">, come da tabella </w:t>
      </w:r>
      <w:r w:rsidRPr="00EC765F">
        <w:rPr>
          <w:rFonts w:ascii="Arial" w:hAnsi="Arial" w:cs="Arial"/>
          <w:sz w:val="28"/>
          <w:szCs w:val="28"/>
        </w:rPr>
        <w:t>seguen</w:t>
      </w:r>
      <w:r>
        <w:rPr>
          <w:rFonts w:ascii="Arial" w:hAnsi="Arial" w:cs="Arial"/>
          <w:sz w:val="28"/>
          <w:szCs w:val="28"/>
        </w:rPr>
        <w:t>te</w:t>
      </w:r>
      <w:r w:rsidRPr="00EC765F">
        <w:rPr>
          <w:rFonts w:ascii="Arial" w:hAnsi="Arial" w:cs="Arial"/>
          <w:sz w:val="28"/>
          <w:szCs w:val="2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1811"/>
      </w:tblGrid>
      <w:tr w:rsidR="00EC765F" w:rsidRPr="00EC765F" w:rsidTr="000764DC">
        <w:trPr>
          <w:jc w:val="center"/>
        </w:trPr>
        <w:tc>
          <w:tcPr>
            <w:tcW w:w="3259" w:type="dxa"/>
            <w:vAlign w:val="center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CONTRIBUTO</w:t>
            </w:r>
          </w:p>
        </w:tc>
        <w:tc>
          <w:tcPr>
            <w:tcW w:w="1811" w:type="dxa"/>
            <w:vAlign w:val="center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Importi annuali</w:t>
            </w:r>
          </w:p>
        </w:tc>
      </w:tr>
      <w:tr w:rsidR="00EC765F" w:rsidRPr="00EC765F" w:rsidTr="000764DC">
        <w:trPr>
          <w:jc w:val="center"/>
        </w:trPr>
        <w:tc>
          <w:tcPr>
            <w:tcW w:w="3259" w:type="dxa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Art. G forza aziendale</w:t>
            </w:r>
          </w:p>
        </w:tc>
        <w:tc>
          <w:tcPr>
            <w:tcW w:w="1811" w:type="dxa"/>
            <w:vAlign w:val="center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1.269,00</w:t>
            </w:r>
          </w:p>
        </w:tc>
      </w:tr>
      <w:tr w:rsidR="00EC765F" w:rsidRPr="00EC765F" w:rsidTr="000764DC">
        <w:trPr>
          <w:jc w:val="center"/>
        </w:trPr>
        <w:tc>
          <w:tcPr>
            <w:tcW w:w="3259" w:type="dxa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Art. H pensionati</w:t>
            </w:r>
          </w:p>
        </w:tc>
        <w:tc>
          <w:tcPr>
            <w:tcW w:w="1811" w:type="dxa"/>
            <w:vAlign w:val="center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1.152,00</w:t>
            </w:r>
          </w:p>
        </w:tc>
      </w:tr>
      <w:tr w:rsidR="00EC765F" w:rsidRPr="00EC765F" w:rsidTr="000764DC">
        <w:trPr>
          <w:jc w:val="center"/>
        </w:trPr>
        <w:tc>
          <w:tcPr>
            <w:tcW w:w="3259" w:type="dxa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Art. F aziende per dirigenti in servizio iscritti</w:t>
            </w:r>
          </w:p>
        </w:tc>
        <w:tc>
          <w:tcPr>
            <w:tcW w:w="1811" w:type="dxa"/>
            <w:vAlign w:val="center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1.874,00</w:t>
            </w:r>
          </w:p>
        </w:tc>
      </w:tr>
      <w:tr w:rsidR="00EC765F" w:rsidRPr="00EC765F" w:rsidTr="000764DC">
        <w:trPr>
          <w:jc w:val="center"/>
        </w:trPr>
        <w:tc>
          <w:tcPr>
            <w:tcW w:w="3259" w:type="dxa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Art. H contributo individuale dirigenti in servizio</w:t>
            </w:r>
          </w:p>
        </w:tc>
        <w:tc>
          <w:tcPr>
            <w:tcW w:w="1811" w:type="dxa"/>
            <w:vAlign w:val="center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962,00</w:t>
            </w:r>
          </w:p>
        </w:tc>
      </w:tr>
      <w:tr w:rsidR="00EC765F" w:rsidRPr="00EC765F" w:rsidTr="000764DC">
        <w:trPr>
          <w:jc w:val="center"/>
        </w:trPr>
        <w:tc>
          <w:tcPr>
            <w:tcW w:w="3259" w:type="dxa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Art. F + Art. H per iscritti in via convenzionale</w:t>
            </w:r>
          </w:p>
        </w:tc>
        <w:tc>
          <w:tcPr>
            <w:tcW w:w="1811" w:type="dxa"/>
            <w:vAlign w:val="center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2.836,00</w:t>
            </w:r>
          </w:p>
        </w:tc>
      </w:tr>
      <w:tr w:rsidR="00EC765F" w:rsidRPr="00EC765F" w:rsidTr="000764DC">
        <w:trPr>
          <w:trHeight w:val="423"/>
          <w:jc w:val="center"/>
        </w:trPr>
        <w:tc>
          <w:tcPr>
            <w:tcW w:w="3259" w:type="dxa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Art. H p ante 88</w:t>
            </w:r>
          </w:p>
        </w:tc>
        <w:tc>
          <w:tcPr>
            <w:tcW w:w="1811" w:type="dxa"/>
            <w:vAlign w:val="center"/>
          </w:tcPr>
          <w:p w:rsidR="00EC765F" w:rsidRPr="00EC765F" w:rsidRDefault="00EC765F" w:rsidP="00EC765F">
            <w:pPr>
              <w:ind w:left="50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C765F">
              <w:rPr>
                <w:rFonts w:ascii="Arial" w:hAnsi="Arial" w:cs="Arial"/>
                <w:sz w:val="28"/>
                <w:szCs w:val="28"/>
              </w:rPr>
              <w:t>1.047,00</w:t>
            </w:r>
          </w:p>
        </w:tc>
      </w:tr>
    </w:tbl>
    <w:p w:rsidR="000764DC" w:rsidRDefault="000764DC" w:rsidP="00EC765F">
      <w:pPr>
        <w:jc w:val="both"/>
        <w:rPr>
          <w:rFonts w:ascii="Arial" w:hAnsi="Arial" w:cs="Arial"/>
          <w:sz w:val="28"/>
          <w:szCs w:val="28"/>
        </w:rPr>
      </w:pPr>
    </w:p>
    <w:p w:rsidR="00EC765F" w:rsidRDefault="000764DC" w:rsidP="00EC765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Inoltre, </w:t>
      </w:r>
      <w:r w:rsidRPr="00EC765F">
        <w:rPr>
          <w:rFonts w:ascii="Arial" w:hAnsi="Arial" w:cs="Arial"/>
          <w:sz w:val="28"/>
          <w:szCs w:val="28"/>
        </w:rPr>
        <w:t>a far data dal 1° gennaio 2015, il Fondo non rimborserà l’IVA sulle prestazioni sanitarie cui si applica</w:t>
      </w:r>
      <w:r>
        <w:rPr>
          <w:rFonts w:ascii="Arial" w:hAnsi="Arial" w:cs="Arial"/>
          <w:sz w:val="28"/>
          <w:szCs w:val="28"/>
        </w:rPr>
        <w:t>.</w:t>
      </w:r>
    </w:p>
    <w:p w:rsidR="00EC765F" w:rsidRPr="00EC765F" w:rsidRDefault="000764DC" w:rsidP="00EC765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</w:t>
      </w:r>
      <w:r w:rsidR="00EC765F">
        <w:rPr>
          <w:rFonts w:ascii="Arial" w:hAnsi="Arial" w:cs="Arial"/>
          <w:sz w:val="28"/>
          <w:szCs w:val="28"/>
        </w:rPr>
        <w:t>engono poi introdotte una serie di modifiche</w:t>
      </w:r>
      <w:r>
        <w:rPr>
          <w:rFonts w:ascii="Arial" w:hAnsi="Arial" w:cs="Arial"/>
          <w:sz w:val="28"/>
          <w:szCs w:val="28"/>
        </w:rPr>
        <w:t xml:space="preserve"> della disciplina previgente,</w:t>
      </w:r>
      <w:r w:rsidR="00EC765F">
        <w:rPr>
          <w:rFonts w:ascii="Arial" w:hAnsi="Arial" w:cs="Arial"/>
          <w:sz w:val="28"/>
          <w:szCs w:val="28"/>
        </w:rPr>
        <w:t xml:space="preserve"> volte a demandare </w:t>
      </w:r>
      <w:r>
        <w:rPr>
          <w:rFonts w:ascii="Arial" w:hAnsi="Arial" w:cs="Arial"/>
          <w:sz w:val="28"/>
          <w:szCs w:val="28"/>
        </w:rPr>
        <w:t xml:space="preserve">direttamente </w:t>
      </w:r>
      <w:r w:rsidR="00EC765F">
        <w:rPr>
          <w:rFonts w:ascii="Arial" w:hAnsi="Arial" w:cs="Arial"/>
          <w:sz w:val="28"/>
          <w:szCs w:val="28"/>
        </w:rPr>
        <w:t xml:space="preserve">agli organi </w:t>
      </w:r>
      <w:r>
        <w:rPr>
          <w:rFonts w:ascii="Arial" w:hAnsi="Arial" w:cs="Arial"/>
          <w:sz w:val="28"/>
          <w:szCs w:val="28"/>
        </w:rPr>
        <w:t xml:space="preserve">amministrativi del Fondo, sempre con l’obiettivo </w:t>
      </w:r>
      <w:r w:rsidRPr="00EC765F">
        <w:rPr>
          <w:rFonts w:ascii="Arial" w:hAnsi="Arial" w:cs="Arial"/>
          <w:sz w:val="28"/>
          <w:szCs w:val="28"/>
        </w:rPr>
        <w:t>di garantir</w:t>
      </w:r>
      <w:r>
        <w:rPr>
          <w:rFonts w:ascii="Arial" w:hAnsi="Arial" w:cs="Arial"/>
          <w:sz w:val="28"/>
          <w:szCs w:val="28"/>
        </w:rPr>
        <w:t>n</w:t>
      </w:r>
      <w:r w:rsidRPr="00EC765F">
        <w:rPr>
          <w:rFonts w:ascii="Arial" w:hAnsi="Arial" w:cs="Arial"/>
          <w:sz w:val="28"/>
          <w:szCs w:val="28"/>
        </w:rPr>
        <w:t xml:space="preserve">e l’equilibrio economico </w:t>
      </w:r>
      <w:r>
        <w:rPr>
          <w:rFonts w:ascii="Arial" w:hAnsi="Arial" w:cs="Arial"/>
          <w:sz w:val="28"/>
          <w:szCs w:val="28"/>
        </w:rPr>
        <w:t>–</w:t>
      </w:r>
      <w:r w:rsidRPr="00EC765F">
        <w:rPr>
          <w:rFonts w:ascii="Arial" w:hAnsi="Arial" w:cs="Arial"/>
          <w:sz w:val="28"/>
          <w:szCs w:val="28"/>
        </w:rPr>
        <w:t xml:space="preserve"> finanziario</w:t>
      </w:r>
      <w:r>
        <w:rPr>
          <w:rFonts w:ascii="Arial" w:hAnsi="Arial" w:cs="Arial"/>
          <w:sz w:val="28"/>
          <w:szCs w:val="28"/>
        </w:rPr>
        <w:t>, le decisioni in ordine alla determinazione delle aliquote contributive dal 2016.</w:t>
      </w:r>
    </w:p>
    <w:p w:rsidR="00EC765F" w:rsidRPr="00EC765F" w:rsidRDefault="000764DC" w:rsidP="000764D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 così</w:t>
      </w:r>
      <w:r w:rsidR="001636F6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viene demandato a</w:t>
      </w:r>
      <w:r w:rsidR="00EC765F" w:rsidRPr="00EC765F">
        <w:rPr>
          <w:rFonts w:ascii="Arial" w:hAnsi="Arial" w:cs="Arial"/>
          <w:sz w:val="28"/>
          <w:szCs w:val="28"/>
        </w:rPr>
        <w:t xml:space="preserve">gli organi amministrativi del Fondo, </w:t>
      </w:r>
      <w:r w:rsidR="00BD09A4">
        <w:rPr>
          <w:rFonts w:ascii="Arial" w:hAnsi="Arial" w:cs="Arial"/>
          <w:sz w:val="28"/>
          <w:szCs w:val="28"/>
        </w:rPr>
        <w:t xml:space="preserve">che </w:t>
      </w:r>
      <w:r w:rsidR="00EC765F" w:rsidRPr="00EC765F">
        <w:rPr>
          <w:rFonts w:ascii="Arial" w:hAnsi="Arial" w:cs="Arial"/>
          <w:sz w:val="28"/>
          <w:szCs w:val="28"/>
        </w:rPr>
        <w:t>adotteranno le necessarie delibere, con efficacia dal 1° genna</w:t>
      </w:r>
      <w:r w:rsidR="00BD09A4">
        <w:rPr>
          <w:rFonts w:ascii="Arial" w:hAnsi="Arial" w:cs="Arial"/>
          <w:sz w:val="28"/>
          <w:szCs w:val="28"/>
        </w:rPr>
        <w:t>io 2016</w:t>
      </w:r>
      <w:r w:rsidR="00EC765F" w:rsidRPr="00EC765F">
        <w:rPr>
          <w:rFonts w:ascii="Arial" w:hAnsi="Arial" w:cs="Arial"/>
          <w:sz w:val="28"/>
          <w:szCs w:val="28"/>
        </w:rPr>
        <w:t>:</w:t>
      </w:r>
    </w:p>
    <w:p w:rsidR="00EC765F" w:rsidRPr="00EC765F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 xml:space="preserve"> </w:t>
      </w:r>
      <w:r w:rsidR="00BD09A4">
        <w:rPr>
          <w:rFonts w:ascii="Arial" w:hAnsi="Arial" w:cs="Arial"/>
          <w:sz w:val="28"/>
          <w:szCs w:val="28"/>
        </w:rPr>
        <w:t xml:space="preserve">la </w:t>
      </w:r>
      <w:r w:rsidRPr="00EC765F">
        <w:rPr>
          <w:rFonts w:ascii="Arial" w:hAnsi="Arial" w:cs="Arial"/>
          <w:sz w:val="28"/>
          <w:szCs w:val="28"/>
        </w:rPr>
        <w:t>determina</w:t>
      </w:r>
      <w:r w:rsidR="00BD09A4">
        <w:rPr>
          <w:rFonts w:ascii="Arial" w:hAnsi="Arial" w:cs="Arial"/>
          <w:sz w:val="28"/>
          <w:szCs w:val="28"/>
        </w:rPr>
        <w:t>zione del</w:t>
      </w:r>
      <w:r w:rsidRPr="00EC765F">
        <w:rPr>
          <w:rFonts w:ascii="Arial" w:hAnsi="Arial" w:cs="Arial"/>
          <w:sz w:val="28"/>
          <w:szCs w:val="28"/>
        </w:rPr>
        <w:t>le quote annuali di contribuzione a carico delle imprese ex lett. F) e G) del regolamento</w:t>
      </w:r>
      <w:r w:rsidR="001636F6">
        <w:rPr>
          <w:rFonts w:ascii="Arial" w:hAnsi="Arial" w:cs="Arial"/>
          <w:sz w:val="28"/>
          <w:szCs w:val="28"/>
        </w:rPr>
        <w:t>,</w:t>
      </w:r>
      <w:r w:rsidRPr="00EC765F">
        <w:rPr>
          <w:rFonts w:ascii="Arial" w:hAnsi="Arial" w:cs="Arial"/>
          <w:sz w:val="28"/>
          <w:szCs w:val="28"/>
        </w:rPr>
        <w:t xml:space="preserve"> in misura tale che l’ammontare dei contributi derivante da queste due voci si mantenga in una misura compresa fra il 55% e il 57% del totale delle entrate contributive dell’anno di riferimento ai fine del budget;</w:t>
      </w:r>
    </w:p>
    <w:p w:rsidR="00EC765F" w:rsidRPr="00EC765F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 xml:space="preserve"> </w:t>
      </w:r>
      <w:r w:rsidR="00BD09A4">
        <w:rPr>
          <w:rFonts w:ascii="Arial" w:hAnsi="Arial" w:cs="Arial"/>
          <w:sz w:val="28"/>
          <w:szCs w:val="28"/>
        </w:rPr>
        <w:t xml:space="preserve">la </w:t>
      </w:r>
      <w:r w:rsidRPr="00EC765F">
        <w:rPr>
          <w:rFonts w:ascii="Arial" w:hAnsi="Arial" w:cs="Arial"/>
          <w:sz w:val="28"/>
          <w:szCs w:val="28"/>
        </w:rPr>
        <w:t>determinazione annuale del contributo previsto dall’art. H del regolamento;</w:t>
      </w:r>
    </w:p>
    <w:p w:rsidR="00EC765F" w:rsidRPr="00EC765F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 xml:space="preserve"> ai fini delle maggiorazioni previste sul contributo di cui all’art. H del regolamento (per i soli dirigenti pensionati), </w:t>
      </w:r>
      <w:r w:rsidR="00BD09A4">
        <w:rPr>
          <w:rFonts w:ascii="Arial" w:hAnsi="Arial" w:cs="Arial"/>
          <w:sz w:val="28"/>
          <w:szCs w:val="28"/>
        </w:rPr>
        <w:t>saranno</w:t>
      </w:r>
      <w:r w:rsidRPr="00EC765F">
        <w:rPr>
          <w:rFonts w:ascii="Arial" w:hAnsi="Arial" w:cs="Arial"/>
          <w:sz w:val="28"/>
          <w:szCs w:val="28"/>
        </w:rPr>
        <w:t xml:space="preserve"> considerati i soli periodi di iscrizione al FASI;</w:t>
      </w:r>
    </w:p>
    <w:p w:rsidR="00EC765F" w:rsidRPr="00EC765F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 xml:space="preserve"> l’adozione di interventi sull’art. L del regolamento</w:t>
      </w:r>
      <w:r w:rsidR="001636F6">
        <w:rPr>
          <w:rFonts w:ascii="Arial" w:hAnsi="Arial" w:cs="Arial"/>
          <w:sz w:val="28"/>
          <w:szCs w:val="28"/>
        </w:rPr>
        <w:t>,</w:t>
      </w:r>
      <w:r w:rsidRPr="00EC765F">
        <w:rPr>
          <w:rFonts w:ascii="Arial" w:hAnsi="Arial" w:cs="Arial"/>
          <w:sz w:val="28"/>
          <w:szCs w:val="28"/>
        </w:rPr>
        <w:t xml:space="preserve"> per rimodulare le penalizzazioni di ritardata iscrizione, al fine di incentivare l’iscrizione al Fondo;</w:t>
      </w:r>
    </w:p>
    <w:p w:rsidR="00EC765F" w:rsidRPr="00EC765F" w:rsidRDefault="001636F6" w:rsidP="00EC765F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>la modifica del parametro di calcolo del contributo una tantum</w:t>
      </w:r>
      <w:r>
        <w:rPr>
          <w:rFonts w:ascii="Arial" w:hAnsi="Arial" w:cs="Arial"/>
          <w:sz w:val="28"/>
          <w:szCs w:val="28"/>
        </w:rPr>
        <w:t xml:space="preserve"> </w:t>
      </w:r>
      <w:r w:rsidR="00BD09A4">
        <w:rPr>
          <w:rFonts w:ascii="Arial" w:hAnsi="Arial" w:cs="Arial"/>
          <w:sz w:val="28"/>
          <w:szCs w:val="28"/>
        </w:rPr>
        <w:t xml:space="preserve">in relazione alle confluenze </w:t>
      </w:r>
      <w:r w:rsidR="00EC765F" w:rsidRPr="00EC765F">
        <w:rPr>
          <w:rFonts w:ascii="Arial" w:hAnsi="Arial" w:cs="Arial"/>
          <w:sz w:val="28"/>
          <w:szCs w:val="28"/>
        </w:rPr>
        <w:t>collettive previste dall’art. 2b-bis comma 2 dello Statuto, per le richieste che verranno formalizzate dopo la data di entrata in vigo</w:t>
      </w:r>
      <w:r w:rsidR="00BD09A4">
        <w:rPr>
          <w:rFonts w:ascii="Arial" w:hAnsi="Arial" w:cs="Arial"/>
          <w:sz w:val="28"/>
          <w:szCs w:val="28"/>
        </w:rPr>
        <w:t>re dell’accordo di rinnovo</w:t>
      </w:r>
      <w:r w:rsidR="00EC765F" w:rsidRPr="00EC765F">
        <w:rPr>
          <w:rFonts w:ascii="Arial" w:hAnsi="Arial" w:cs="Arial"/>
          <w:sz w:val="28"/>
          <w:szCs w:val="28"/>
        </w:rPr>
        <w:t>, con l’obiettivo di prevedere un equilibrio fra entrate e uscite calcolato su un arco temporale fra 8 e 10 anni. Il Consiglio di Amministrazione del Fondo potrà applicare tale criterio alle eventuali domande di confluenza che perverranno nell’anno 2015;</w:t>
      </w:r>
    </w:p>
    <w:p w:rsidR="00EC765F" w:rsidRPr="00EC765F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 xml:space="preserve">l’applicazione dal 2016 di una maggiorazione non inferiore al 10% al contributo previsto dall’art. G del regolamento per quelle imprese che contribuiscono al versamento del solo art. G del regolamento stesso senza oggi corrispondere alcuna </w:t>
      </w:r>
      <w:r w:rsidRPr="00EC765F">
        <w:rPr>
          <w:rFonts w:ascii="Arial" w:hAnsi="Arial" w:cs="Arial"/>
          <w:sz w:val="28"/>
          <w:szCs w:val="28"/>
        </w:rPr>
        <w:lastRenderedPageBreak/>
        <w:t>maggiorazione. Il Consiglio di amministrazione del Fondo valuterà la modulazione della maggiorazione di cui sopra e di quella già applicata per le adesioni post 2005 a garanzia del corretto equilibrio gestionale (entrate/uscite). Il Consiglio di amministrazione valuterà altresì l’eventuale inibizione della facoltà di accogliere nuove richieste di accesso da parte di imprese che ad oggi non si sono ancora avvalse di tale facoltà.</w:t>
      </w:r>
    </w:p>
    <w:p w:rsidR="00EC765F" w:rsidRPr="00EC765F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>relativamente alla contribuzione per il nucleo familiare:</w:t>
      </w:r>
    </w:p>
    <w:p w:rsidR="00EC765F" w:rsidRPr="00EC765F" w:rsidRDefault="00EC765F" w:rsidP="00EC765F">
      <w:pPr>
        <w:numPr>
          <w:ilvl w:val="2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>la determinazione annuale di un contributo aggiuntivo, a carico del dirigente, per ogni familiare, esclusi gli ascendenti, eccedenti il terzo componente;</w:t>
      </w:r>
    </w:p>
    <w:p w:rsidR="00EC765F" w:rsidRPr="00EC765F" w:rsidRDefault="00A70ABD" w:rsidP="00EC765F">
      <w:pPr>
        <w:numPr>
          <w:ilvl w:val="2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possibilità di iscrivere</w:t>
      </w:r>
      <w:r w:rsidR="00EC765F" w:rsidRPr="00EC765F">
        <w:rPr>
          <w:rFonts w:ascii="Arial" w:hAnsi="Arial" w:cs="Arial"/>
          <w:sz w:val="28"/>
          <w:szCs w:val="28"/>
        </w:rPr>
        <w:t xml:space="preserve">, a carico del dirigente, il </w:t>
      </w:r>
      <w:r>
        <w:rPr>
          <w:rFonts w:ascii="Arial" w:hAnsi="Arial" w:cs="Arial"/>
          <w:sz w:val="28"/>
          <w:szCs w:val="28"/>
        </w:rPr>
        <w:t>convivente more uxorio, rispettando</w:t>
      </w:r>
      <w:r w:rsidR="00BD09A4">
        <w:rPr>
          <w:rFonts w:ascii="Arial" w:hAnsi="Arial" w:cs="Arial"/>
          <w:sz w:val="28"/>
          <w:szCs w:val="28"/>
        </w:rPr>
        <w:t xml:space="preserve"> una serie di</w:t>
      </w:r>
      <w:r w:rsidR="00EC765F" w:rsidRPr="00EC765F">
        <w:rPr>
          <w:rFonts w:ascii="Arial" w:hAnsi="Arial" w:cs="Arial"/>
          <w:sz w:val="28"/>
          <w:szCs w:val="28"/>
        </w:rPr>
        <w:t xml:space="preserve"> crite</w:t>
      </w:r>
      <w:r w:rsidR="00BD09A4">
        <w:rPr>
          <w:rFonts w:ascii="Arial" w:hAnsi="Arial" w:cs="Arial"/>
          <w:sz w:val="28"/>
          <w:szCs w:val="28"/>
        </w:rPr>
        <w:t>ri;</w:t>
      </w:r>
    </w:p>
    <w:p w:rsidR="00EC765F" w:rsidRPr="00EC765F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>la previsione della possibilità di iscrizione, in qualità e con i livelli contributivi dei dirigenti iscritti in via convenzionale, di chi abbia perso la qualifica di dirigente, a condizione che abbia maturato un’anzianità di iscrizione al Fondo di almeno 2 anni;</w:t>
      </w:r>
    </w:p>
    <w:p w:rsidR="00EC765F" w:rsidRPr="00EC765F" w:rsidRDefault="00BD09A4" w:rsidP="00EC765F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la </w:t>
      </w:r>
      <w:r w:rsidR="00EC765F" w:rsidRPr="00EC765F">
        <w:rPr>
          <w:rFonts w:ascii="Arial" w:hAnsi="Arial" w:cs="Arial"/>
          <w:sz w:val="28"/>
          <w:szCs w:val="28"/>
        </w:rPr>
        <w:t>formula</w:t>
      </w:r>
      <w:r>
        <w:rPr>
          <w:rFonts w:ascii="Arial" w:hAnsi="Arial" w:cs="Arial"/>
          <w:sz w:val="28"/>
          <w:szCs w:val="28"/>
        </w:rPr>
        <w:t>zione</w:t>
      </w:r>
      <w:r w:rsidR="00EC765F" w:rsidRPr="00EC765F">
        <w:rPr>
          <w:rFonts w:ascii="Arial" w:hAnsi="Arial" w:cs="Arial"/>
          <w:sz w:val="28"/>
          <w:szCs w:val="28"/>
        </w:rPr>
        <w:t xml:space="preserve"> alle parti, entro il 30 novembre 2015 - avvalendosi di esperti in campo economico, attuariale/assicurativo,  giuridico e  di </w:t>
      </w:r>
      <w:proofErr w:type="spellStart"/>
      <w:r w:rsidR="00EC765F" w:rsidRPr="00EC765F">
        <w:rPr>
          <w:rFonts w:ascii="Arial" w:hAnsi="Arial" w:cs="Arial"/>
          <w:sz w:val="28"/>
          <w:szCs w:val="28"/>
        </w:rPr>
        <w:t>sanita’</w:t>
      </w:r>
      <w:proofErr w:type="spellEnd"/>
      <w:r w:rsidR="00EC765F" w:rsidRPr="00EC765F">
        <w:rPr>
          <w:rFonts w:ascii="Arial" w:hAnsi="Arial" w:cs="Arial"/>
          <w:sz w:val="28"/>
          <w:szCs w:val="28"/>
        </w:rPr>
        <w:t xml:space="preserve"> integrativa </w:t>
      </w:r>
      <w:r>
        <w:rPr>
          <w:rFonts w:ascii="Arial" w:hAnsi="Arial" w:cs="Arial"/>
          <w:sz w:val="28"/>
          <w:szCs w:val="28"/>
        </w:rPr>
        <w:t>–</w:t>
      </w:r>
      <w:r w:rsidR="00EC765F" w:rsidRPr="00EC765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di </w:t>
      </w:r>
      <w:r w:rsidR="00EC765F" w:rsidRPr="00EC765F">
        <w:rPr>
          <w:rFonts w:ascii="Arial" w:hAnsi="Arial" w:cs="Arial"/>
          <w:sz w:val="28"/>
          <w:szCs w:val="28"/>
        </w:rPr>
        <w:t>proposte:</w:t>
      </w:r>
    </w:p>
    <w:p w:rsidR="00EC765F" w:rsidRPr="00EC765F" w:rsidRDefault="00EC765F" w:rsidP="00EC765F">
      <w:pPr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>di revisione graduale del criterio di gestione basato sull’assetto a ripartizione del Fondo, tali da garantire anche nel medio - lungo periodo gli obiettivi di equilibrio finanziario di solidarietà sostenibile richiamati in premessa;</w:t>
      </w:r>
    </w:p>
    <w:p w:rsidR="00EC765F" w:rsidRPr="00EC765F" w:rsidRDefault="00EC765F" w:rsidP="00EC765F">
      <w:pPr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 xml:space="preserve"> di introduzione di elementi di diversificazione della contribuzione in relazione alla possibilità di offrire pacchetti differenziati di prestazioni;</w:t>
      </w:r>
    </w:p>
    <w:p w:rsidR="00EC765F" w:rsidRPr="00EC765F" w:rsidRDefault="00EC765F" w:rsidP="00EC765F">
      <w:pPr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r w:rsidRPr="00EC765F">
        <w:rPr>
          <w:rFonts w:ascii="Arial" w:hAnsi="Arial" w:cs="Arial"/>
          <w:sz w:val="28"/>
          <w:szCs w:val="28"/>
        </w:rPr>
        <w:t xml:space="preserve">di ampliamento delle attività nel campo dell’assistenza sanitaria e delle iniziative ad essa collegate tenendo conto delle attività attualmente svolte da </w:t>
      </w:r>
      <w:proofErr w:type="spellStart"/>
      <w:r w:rsidRPr="00EC765F">
        <w:rPr>
          <w:rFonts w:ascii="Arial" w:hAnsi="Arial" w:cs="Arial"/>
          <w:sz w:val="28"/>
          <w:szCs w:val="28"/>
        </w:rPr>
        <w:t>Assidai</w:t>
      </w:r>
      <w:proofErr w:type="spellEnd"/>
      <w:r w:rsidRPr="00EC765F">
        <w:rPr>
          <w:rFonts w:ascii="Arial" w:hAnsi="Arial" w:cs="Arial"/>
          <w:sz w:val="28"/>
          <w:szCs w:val="28"/>
        </w:rPr>
        <w:t xml:space="preserve"> e nel rispetto delle finalità statutarie del Fondo</w:t>
      </w:r>
      <w:r w:rsidR="00BD09A4">
        <w:rPr>
          <w:rFonts w:ascii="Arial" w:hAnsi="Arial" w:cs="Arial"/>
          <w:sz w:val="28"/>
          <w:szCs w:val="28"/>
        </w:rPr>
        <w:t>.</w:t>
      </w:r>
      <w:r w:rsidR="00C74B60">
        <w:rPr>
          <w:rFonts w:ascii="Arial" w:hAnsi="Arial" w:cs="Arial"/>
          <w:sz w:val="28"/>
          <w:szCs w:val="28"/>
        </w:rPr>
        <w:t xml:space="preserve"> </w:t>
      </w:r>
    </w:p>
    <w:p w:rsidR="00EC765F" w:rsidRPr="00EC765F" w:rsidRDefault="00EC765F" w:rsidP="00EC765F">
      <w:pPr>
        <w:ind w:left="505"/>
        <w:jc w:val="both"/>
        <w:rPr>
          <w:rFonts w:ascii="Arial" w:hAnsi="Arial" w:cs="Arial"/>
          <w:sz w:val="28"/>
          <w:szCs w:val="28"/>
        </w:rPr>
      </w:pPr>
    </w:p>
    <w:sectPr w:rsidR="00EC765F" w:rsidRPr="00EC765F" w:rsidSect="005926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3A8" w:rsidRDefault="00BA03A8" w:rsidP="007F3734">
      <w:pPr>
        <w:spacing w:after="0" w:line="240" w:lineRule="auto"/>
      </w:pPr>
      <w:r>
        <w:separator/>
      </w:r>
    </w:p>
  </w:endnote>
  <w:endnote w:type="continuationSeparator" w:id="0">
    <w:p w:rsidR="00BA03A8" w:rsidRDefault="00BA03A8" w:rsidP="007F3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3A8" w:rsidRDefault="00BA03A8" w:rsidP="007F3734">
      <w:pPr>
        <w:spacing w:after="0" w:line="240" w:lineRule="auto"/>
      </w:pPr>
      <w:r>
        <w:separator/>
      </w:r>
    </w:p>
  </w:footnote>
  <w:footnote w:type="continuationSeparator" w:id="0">
    <w:p w:rsidR="00BA03A8" w:rsidRDefault="00BA03A8" w:rsidP="007F3734">
      <w:pPr>
        <w:spacing w:after="0" w:line="240" w:lineRule="auto"/>
      </w:pPr>
      <w:r>
        <w:continuationSeparator/>
      </w:r>
    </w:p>
  </w:footnote>
  <w:footnote w:id="1">
    <w:p w:rsidR="007F3734" w:rsidRDefault="007F3734">
      <w:pPr>
        <w:pStyle w:val="Testonotaapidipagina"/>
      </w:pPr>
      <w:r>
        <w:rPr>
          <w:rStyle w:val="Rimandonotaapidipagina"/>
        </w:rPr>
        <w:footnoteRef/>
      </w:r>
      <w:r>
        <w:t xml:space="preserve"> Si chiarisce che per i dirigenti con anzianità fino a 12 mesi il riconoscimento del nuovo livello minimo del TMCG, pari </w:t>
      </w:r>
      <w:r w:rsidR="00FC791C">
        <w:t>a 66.000 euro,  assorbe</w:t>
      </w:r>
      <w:r>
        <w:t xml:space="preserve"> quanto otterrebbero se si applicasse anche a costoro il meccanismo dei </w:t>
      </w:r>
      <w:r w:rsidR="00FC791C">
        <w:t>“</w:t>
      </w:r>
      <w:r>
        <w:t>settantaduesimi</w:t>
      </w:r>
      <w:r w:rsidR="00FC791C">
        <w:t>” maturati</w:t>
      </w:r>
      <w:r>
        <w:t xml:space="preserve">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35D52"/>
    <w:multiLevelType w:val="hybridMultilevel"/>
    <w:tmpl w:val="F0244AC8"/>
    <w:lvl w:ilvl="0" w:tplc="103E6FA0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6E6025"/>
    <w:multiLevelType w:val="hybridMultilevel"/>
    <w:tmpl w:val="09CE6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F35A4"/>
    <w:multiLevelType w:val="hybridMultilevel"/>
    <w:tmpl w:val="9B5ECCFE"/>
    <w:lvl w:ilvl="0" w:tplc="55806BB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7A93ED3"/>
    <w:multiLevelType w:val="hybridMultilevel"/>
    <w:tmpl w:val="092645F4"/>
    <w:lvl w:ilvl="0" w:tplc="D0D411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7341F"/>
    <w:multiLevelType w:val="hybridMultilevel"/>
    <w:tmpl w:val="8DA44BE0"/>
    <w:lvl w:ilvl="0" w:tplc="1466CD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F3818"/>
    <w:multiLevelType w:val="hybridMultilevel"/>
    <w:tmpl w:val="603EAAC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83C8A"/>
    <w:multiLevelType w:val="hybridMultilevel"/>
    <w:tmpl w:val="C39E21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060DF"/>
    <w:multiLevelType w:val="hybridMultilevel"/>
    <w:tmpl w:val="802474D6"/>
    <w:lvl w:ilvl="0" w:tplc="0410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8">
    <w:nsid w:val="71005E4B"/>
    <w:multiLevelType w:val="hybridMultilevel"/>
    <w:tmpl w:val="C5585F74"/>
    <w:lvl w:ilvl="0" w:tplc="A5B83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105D18"/>
    <w:multiLevelType w:val="hybridMultilevel"/>
    <w:tmpl w:val="346677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3AF"/>
    <w:rsid w:val="000764DC"/>
    <w:rsid w:val="000D226B"/>
    <w:rsid w:val="00101DFF"/>
    <w:rsid w:val="00132462"/>
    <w:rsid w:val="001636F6"/>
    <w:rsid w:val="001E7755"/>
    <w:rsid w:val="00234E3E"/>
    <w:rsid w:val="00273E5C"/>
    <w:rsid w:val="002F4D4F"/>
    <w:rsid w:val="00340B54"/>
    <w:rsid w:val="0034549D"/>
    <w:rsid w:val="00391490"/>
    <w:rsid w:val="003C7AAA"/>
    <w:rsid w:val="004E2DD4"/>
    <w:rsid w:val="0053195C"/>
    <w:rsid w:val="00552507"/>
    <w:rsid w:val="005926A7"/>
    <w:rsid w:val="005B33C5"/>
    <w:rsid w:val="005C1399"/>
    <w:rsid w:val="005D3685"/>
    <w:rsid w:val="00626420"/>
    <w:rsid w:val="00681A47"/>
    <w:rsid w:val="00701985"/>
    <w:rsid w:val="00727398"/>
    <w:rsid w:val="007755E3"/>
    <w:rsid w:val="00783F30"/>
    <w:rsid w:val="007911BD"/>
    <w:rsid w:val="0079584F"/>
    <w:rsid w:val="007C72E8"/>
    <w:rsid w:val="007D0313"/>
    <w:rsid w:val="007F3734"/>
    <w:rsid w:val="00917CA0"/>
    <w:rsid w:val="00943D07"/>
    <w:rsid w:val="009B6A91"/>
    <w:rsid w:val="00A07C7D"/>
    <w:rsid w:val="00A35FCF"/>
    <w:rsid w:val="00A61710"/>
    <w:rsid w:val="00A70ABD"/>
    <w:rsid w:val="00AC5330"/>
    <w:rsid w:val="00B938D0"/>
    <w:rsid w:val="00BA03A8"/>
    <w:rsid w:val="00BD09A4"/>
    <w:rsid w:val="00C74B60"/>
    <w:rsid w:val="00CB23AF"/>
    <w:rsid w:val="00CE2E8B"/>
    <w:rsid w:val="00E81C9F"/>
    <w:rsid w:val="00EC765F"/>
    <w:rsid w:val="00FB08EB"/>
    <w:rsid w:val="00FC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26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6A91"/>
    <w:pPr>
      <w:ind w:left="720"/>
      <w:contextualSpacing/>
    </w:pPr>
  </w:style>
  <w:style w:type="paragraph" w:styleId="Corpodeltesto">
    <w:name w:val="Body Text"/>
    <w:basedOn w:val="Normale"/>
    <w:link w:val="CorpodeltestoCarattere"/>
    <w:semiHidden/>
    <w:rsid w:val="00A35F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A35FCF"/>
    <w:rPr>
      <w:rFonts w:ascii="Arial" w:eastAsia="Times New Roman" w:hAnsi="Arial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F373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F373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F373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D71F1-2B2E-4D08-B435-5A6B7C0E6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Confindustria</Company>
  <LinksUpToDate>false</LinksUpToDate>
  <CharactersWithSpaces>11585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MMarche</dc:creator>
  <cp:lastModifiedBy>Marina Forte</cp:lastModifiedBy>
  <cp:revision>2</cp:revision>
  <cp:lastPrinted>2014-12-23T15:57:00Z</cp:lastPrinted>
  <dcterms:created xsi:type="dcterms:W3CDTF">2015-01-12T09:11:00Z</dcterms:created>
  <dcterms:modified xsi:type="dcterms:W3CDTF">2015-01-12T09:11:00Z</dcterms:modified>
</cp:coreProperties>
</file>