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0E0" w:rsidRDefault="00D35E42" w:rsidP="007B10E0">
      <w:pPr>
        <w:keepNext/>
        <w:widowControl/>
        <w:spacing w:line="240" w:lineRule="atLeast"/>
        <w:jc w:val="center"/>
        <w:outlineLvl w:val="0"/>
        <w:rPr>
          <w:rFonts w:ascii="Calibri" w:hAnsi="Calibri" w:cs="Arial"/>
          <w:b/>
          <w:noProof w:val="0"/>
          <w:color w:val="auto"/>
          <w:szCs w:val="24"/>
        </w:rPr>
      </w:pPr>
      <w:r>
        <w:rPr>
          <w:rFonts w:ascii="Calibri" w:hAnsi="Calibri" w:cs="Arial"/>
          <w:b/>
          <w:noProof w:val="0"/>
          <w:color w:val="auto"/>
          <w:szCs w:val="24"/>
        </w:rPr>
        <w:t>DOCUMENTO PRELIMINARE su</w:t>
      </w:r>
    </w:p>
    <w:p w:rsidR="00D35E42" w:rsidRDefault="00D35E42" w:rsidP="007B10E0">
      <w:pPr>
        <w:keepNext/>
        <w:widowControl/>
        <w:spacing w:line="240" w:lineRule="atLeast"/>
        <w:jc w:val="center"/>
        <w:outlineLvl w:val="0"/>
        <w:rPr>
          <w:rFonts w:ascii="Calibri" w:hAnsi="Calibri" w:cs="Arial"/>
          <w:b/>
          <w:noProof w:val="0"/>
          <w:color w:val="auto"/>
          <w:szCs w:val="24"/>
        </w:rPr>
      </w:pPr>
    </w:p>
    <w:p w:rsidR="00ED2461" w:rsidRPr="009D5625" w:rsidRDefault="00D35E42" w:rsidP="00D35E42">
      <w:pPr>
        <w:widowControl/>
        <w:spacing w:line="360" w:lineRule="auto"/>
        <w:jc w:val="center"/>
        <w:rPr>
          <w:rFonts w:ascii="Calibri" w:hAnsi="Calibri"/>
          <w:b/>
          <w:noProof w:val="0"/>
          <w:color w:val="auto"/>
          <w:szCs w:val="24"/>
        </w:rPr>
      </w:pPr>
      <w:r>
        <w:rPr>
          <w:rFonts w:ascii="Calibri" w:hAnsi="Calibri"/>
          <w:b/>
          <w:noProof w:val="0"/>
          <w:color w:val="auto"/>
          <w:szCs w:val="24"/>
        </w:rPr>
        <w:t>“</w:t>
      </w:r>
      <w:r w:rsidR="00AA6906">
        <w:rPr>
          <w:rFonts w:ascii="Calibri" w:hAnsi="Calibri"/>
          <w:b/>
          <w:noProof w:val="0"/>
          <w:color w:val="auto"/>
          <w:szCs w:val="24"/>
        </w:rPr>
        <w:t>Utilizzo dei criteri reputazionali per la qualificazione delle imprese</w:t>
      </w:r>
      <w:r>
        <w:rPr>
          <w:rFonts w:ascii="Calibri" w:hAnsi="Calibri"/>
          <w:b/>
          <w:noProof w:val="0"/>
          <w:color w:val="auto"/>
          <w:szCs w:val="24"/>
        </w:rPr>
        <w:t>”</w:t>
      </w:r>
    </w:p>
    <w:p w:rsidR="00504961" w:rsidRDefault="00504961" w:rsidP="00923E27">
      <w:pPr>
        <w:spacing w:line="360" w:lineRule="auto"/>
        <w:jc w:val="both"/>
        <w:rPr>
          <w:rFonts w:ascii="Calibri" w:hAnsi="Calibri" w:cs="Arial"/>
          <w:color w:val="auto"/>
          <w:szCs w:val="24"/>
        </w:rPr>
      </w:pPr>
    </w:p>
    <w:p w:rsidR="005C204C" w:rsidRPr="00363CB0" w:rsidRDefault="00363CB0" w:rsidP="00363CB0">
      <w:pPr>
        <w:pStyle w:val="Paragrafoelenco"/>
        <w:numPr>
          <w:ilvl w:val="0"/>
          <w:numId w:val="7"/>
        </w:numPr>
        <w:spacing w:line="360" w:lineRule="auto"/>
        <w:jc w:val="both"/>
        <w:rPr>
          <w:rFonts w:ascii="Calibri" w:hAnsi="Calibri" w:cs="Arial"/>
          <w:b/>
          <w:color w:val="auto"/>
          <w:szCs w:val="24"/>
        </w:rPr>
      </w:pPr>
      <w:r w:rsidRPr="00363CB0">
        <w:rPr>
          <w:rFonts w:ascii="Calibri" w:hAnsi="Calibri" w:cs="Arial"/>
          <w:b/>
          <w:color w:val="auto"/>
          <w:szCs w:val="24"/>
        </w:rPr>
        <w:t xml:space="preserve">Considerazioni introduttive </w:t>
      </w:r>
    </w:p>
    <w:p w:rsidR="00A546DE" w:rsidRDefault="00366F35" w:rsidP="00D35E42">
      <w:pPr>
        <w:pStyle w:val="Corpodeltesto"/>
        <w:spacing w:line="360" w:lineRule="auto"/>
        <w:ind w:left="360" w:right="567"/>
        <w:jc w:val="both"/>
        <w:rPr>
          <w:rFonts w:ascii="Calibri" w:hAnsi="Calibri"/>
          <w:iCs/>
        </w:rPr>
      </w:pPr>
      <w:r>
        <w:rPr>
          <w:rFonts w:ascii="Calibri" w:hAnsi="Calibri"/>
          <w:iCs/>
        </w:rPr>
        <w:t>L'articolo</w:t>
      </w:r>
      <w:r w:rsidRPr="00366F35">
        <w:rPr>
          <w:rFonts w:ascii="Calibri" w:hAnsi="Calibri"/>
          <w:iCs/>
        </w:rPr>
        <w:t xml:space="preserve"> 2 del </w:t>
      </w:r>
      <w:r>
        <w:rPr>
          <w:rFonts w:ascii="Calibri" w:hAnsi="Calibri"/>
          <w:iCs/>
        </w:rPr>
        <w:t>d</w:t>
      </w:r>
      <w:r w:rsidRPr="00366F35">
        <w:rPr>
          <w:rFonts w:ascii="Calibri" w:hAnsi="Calibri"/>
          <w:iCs/>
        </w:rPr>
        <w:t>.</w:t>
      </w:r>
      <w:r>
        <w:rPr>
          <w:rFonts w:ascii="Calibri" w:hAnsi="Calibri"/>
          <w:iCs/>
        </w:rPr>
        <w:t>l</w:t>
      </w:r>
      <w:r w:rsidRPr="00366F35">
        <w:rPr>
          <w:rFonts w:ascii="Calibri" w:hAnsi="Calibri"/>
          <w:iCs/>
        </w:rPr>
        <w:t xml:space="preserve">gs </w:t>
      </w:r>
      <w:r>
        <w:rPr>
          <w:rFonts w:ascii="Calibri" w:hAnsi="Calibri"/>
          <w:iCs/>
        </w:rPr>
        <w:t xml:space="preserve">n. </w:t>
      </w:r>
      <w:r w:rsidRPr="00366F35">
        <w:rPr>
          <w:rFonts w:ascii="Calibri" w:hAnsi="Calibri"/>
          <w:iCs/>
        </w:rPr>
        <w:t>163/2006 (</w:t>
      </w:r>
      <w:r w:rsidR="002A00A5" w:rsidRPr="00BD2D0A">
        <w:rPr>
          <w:rFonts w:ascii="Calibri" w:hAnsi="Calibri"/>
          <w:iCs/>
        </w:rPr>
        <w:t>Codice Appalti</w:t>
      </w:r>
      <w:r w:rsidRPr="00366F35">
        <w:rPr>
          <w:rFonts w:ascii="Calibri" w:hAnsi="Calibri"/>
          <w:iCs/>
        </w:rPr>
        <w:t>)</w:t>
      </w:r>
      <w:r>
        <w:rPr>
          <w:rFonts w:ascii="Calibri" w:hAnsi="Calibri"/>
          <w:iCs/>
        </w:rPr>
        <w:t>, nel recepire i principi generali</w:t>
      </w:r>
      <w:r w:rsidRPr="00366F35">
        <w:rPr>
          <w:rFonts w:ascii="Calibri" w:hAnsi="Calibri"/>
          <w:iCs/>
        </w:rPr>
        <w:t xml:space="preserve"> espressi</w:t>
      </w:r>
      <w:r>
        <w:rPr>
          <w:rFonts w:ascii="Calibri" w:hAnsi="Calibri"/>
          <w:iCs/>
        </w:rPr>
        <w:t xml:space="preserve"> a livello comunitario e costituzionale</w:t>
      </w:r>
      <w:r w:rsidRPr="00366F35">
        <w:rPr>
          <w:rFonts w:ascii="Calibri" w:hAnsi="Calibri"/>
          <w:iCs/>
        </w:rPr>
        <w:t>, statuisce che l'affidamento dei contratti</w:t>
      </w:r>
      <w:r>
        <w:rPr>
          <w:rFonts w:ascii="Calibri" w:hAnsi="Calibri"/>
          <w:iCs/>
        </w:rPr>
        <w:t xml:space="preserve"> d’appalto</w:t>
      </w:r>
      <w:r w:rsidRPr="00366F35">
        <w:rPr>
          <w:rFonts w:ascii="Calibri" w:hAnsi="Calibri"/>
          <w:iCs/>
        </w:rPr>
        <w:t xml:space="preserve"> "</w:t>
      </w:r>
      <w:r w:rsidR="002A00A5" w:rsidRPr="002A00A5">
        <w:rPr>
          <w:rFonts w:ascii="Calibri" w:hAnsi="Calibri"/>
          <w:i/>
          <w:iCs/>
        </w:rPr>
        <w:t xml:space="preserve">deve garantire la </w:t>
      </w:r>
      <w:r w:rsidR="002A00A5" w:rsidRPr="002A00A5">
        <w:rPr>
          <w:rFonts w:ascii="Calibri" w:hAnsi="Calibri"/>
          <w:b/>
          <w:i/>
          <w:iCs/>
        </w:rPr>
        <w:t>qualità delle prestazioni</w:t>
      </w:r>
      <w:r w:rsidR="002A00A5" w:rsidRPr="002A00A5">
        <w:rPr>
          <w:rFonts w:ascii="Calibri" w:hAnsi="Calibri"/>
          <w:i/>
          <w:iCs/>
        </w:rPr>
        <w:t xml:space="preserve"> e svolgersi nel rispetto dei principi di economicità, efficacia, tempestività e correttezza; l'affidamento deve altresì rispettare i principi di libera concorrenza, parità di trattamento, non discriminazione, trasparenza, proporzionalità, nonché quello di pubblicità con le modalità indicate nel presente codice</w:t>
      </w:r>
      <w:r w:rsidRPr="00366F35">
        <w:rPr>
          <w:rFonts w:ascii="Calibri" w:hAnsi="Calibri"/>
          <w:iCs/>
        </w:rPr>
        <w:t>"</w:t>
      </w:r>
      <w:r>
        <w:rPr>
          <w:rFonts w:ascii="Calibri" w:hAnsi="Calibri"/>
          <w:iCs/>
        </w:rPr>
        <w:t xml:space="preserve">. </w:t>
      </w:r>
    </w:p>
    <w:p w:rsidR="00A546DE" w:rsidRDefault="00366F35">
      <w:pPr>
        <w:pStyle w:val="Corpodeltesto"/>
        <w:spacing w:line="360" w:lineRule="auto"/>
        <w:ind w:left="360" w:right="567"/>
        <w:jc w:val="both"/>
        <w:rPr>
          <w:rFonts w:ascii="Calibri" w:hAnsi="Calibri"/>
          <w:iCs/>
        </w:rPr>
      </w:pPr>
      <w:r>
        <w:rPr>
          <w:rFonts w:ascii="Calibri" w:hAnsi="Calibri"/>
          <w:iCs/>
        </w:rPr>
        <w:t xml:space="preserve">Tuttavia, </w:t>
      </w:r>
      <w:r w:rsidR="004150EF">
        <w:rPr>
          <w:rFonts w:ascii="Calibri" w:hAnsi="Calibri"/>
          <w:iCs/>
        </w:rPr>
        <w:t xml:space="preserve">con riguardo alla qualità delle prestazioni, </w:t>
      </w:r>
      <w:r>
        <w:rPr>
          <w:rFonts w:ascii="Calibri" w:hAnsi="Calibri"/>
          <w:iCs/>
        </w:rPr>
        <w:t>la traduzione in dettami puntuali di tali enunciazioni a carattere generale non è agevole nella prassi applicativa</w:t>
      </w:r>
      <w:r w:rsidR="004150EF">
        <w:rPr>
          <w:rFonts w:ascii="Calibri" w:hAnsi="Calibri"/>
          <w:iCs/>
        </w:rPr>
        <w:t xml:space="preserve"> in cui si registra una difficoltà di bilanciamento </w:t>
      </w:r>
      <w:r w:rsidR="00094D79">
        <w:rPr>
          <w:rFonts w:ascii="Calibri" w:hAnsi="Calibri"/>
          <w:iCs/>
        </w:rPr>
        <w:t xml:space="preserve">tra </w:t>
      </w:r>
      <w:r w:rsidR="004150EF">
        <w:rPr>
          <w:rFonts w:ascii="Calibri" w:hAnsi="Calibri"/>
          <w:iCs/>
        </w:rPr>
        <w:t xml:space="preserve">la valorizzazione dei profili qualitativi </w:t>
      </w:r>
      <w:r w:rsidR="00094D79">
        <w:rPr>
          <w:rFonts w:ascii="Calibri" w:hAnsi="Calibri"/>
          <w:iCs/>
        </w:rPr>
        <w:t>(che</w:t>
      </w:r>
      <w:r w:rsidR="001E2ACD">
        <w:rPr>
          <w:rFonts w:ascii="Calibri" w:hAnsi="Calibri"/>
          <w:iCs/>
        </w:rPr>
        <w:t xml:space="preserve"> può</w:t>
      </w:r>
      <w:r w:rsidR="004150EF">
        <w:rPr>
          <w:rFonts w:ascii="Calibri" w:hAnsi="Calibri"/>
          <w:iCs/>
        </w:rPr>
        <w:t xml:space="preserve"> condurre all’</w:t>
      </w:r>
      <w:r w:rsidR="001E2ACD">
        <w:rPr>
          <w:rFonts w:ascii="Calibri" w:hAnsi="Calibri"/>
          <w:iCs/>
        </w:rPr>
        <w:t>introdu</w:t>
      </w:r>
      <w:r w:rsidR="004150EF">
        <w:rPr>
          <w:rFonts w:ascii="Calibri" w:hAnsi="Calibri"/>
          <w:iCs/>
        </w:rPr>
        <w:t xml:space="preserve">zione di </w:t>
      </w:r>
      <w:r w:rsidR="00094D79">
        <w:rPr>
          <w:rFonts w:ascii="Calibri" w:hAnsi="Calibri"/>
          <w:iCs/>
        </w:rPr>
        <w:t xml:space="preserve">elementi </w:t>
      </w:r>
      <w:r w:rsidR="005F642D">
        <w:rPr>
          <w:rFonts w:ascii="Calibri" w:hAnsi="Calibri"/>
          <w:iCs/>
        </w:rPr>
        <w:t xml:space="preserve">di valutazione discrezionale) </w:t>
      </w:r>
      <w:r w:rsidR="00094D79">
        <w:rPr>
          <w:rFonts w:ascii="Calibri" w:hAnsi="Calibri"/>
          <w:iCs/>
        </w:rPr>
        <w:t xml:space="preserve">ed il principio </w:t>
      </w:r>
      <w:r w:rsidR="004A0CB2">
        <w:rPr>
          <w:rFonts w:ascii="Calibri" w:hAnsi="Calibri"/>
          <w:iCs/>
        </w:rPr>
        <w:t xml:space="preserve">del </w:t>
      </w:r>
      <w:r w:rsidR="002A00A5" w:rsidRPr="002A00A5">
        <w:rPr>
          <w:rFonts w:ascii="Calibri" w:hAnsi="Calibri"/>
          <w:i/>
          <w:iCs/>
        </w:rPr>
        <w:t>favor partecipationis</w:t>
      </w:r>
      <w:r w:rsidR="005F642D">
        <w:rPr>
          <w:rFonts w:ascii="Calibri" w:hAnsi="Calibri"/>
          <w:iCs/>
        </w:rPr>
        <w:t xml:space="preserve"> (che </w:t>
      </w:r>
      <w:r w:rsidR="004150EF">
        <w:rPr>
          <w:rFonts w:ascii="Calibri" w:hAnsi="Calibri"/>
          <w:iCs/>
        </w:rPr>
        <w:t>tende</w:t>
      </w:r>
      <w:r w:rsidR="00B45AC1">
        <w:rPr>
          <w:rFonts w:ascii="Calibri" w:hAnsi="Calibri"/>
          <w:iCs/>
        </w:rPr>
        <w:t>, al contrario,</w:t>
      </w:r>
      <w:r w:rsidR="005F642D">
        <w:rPr>
          <w:rFonts w:ascii="Calibri" w:hAnsi="Calibri"/>
          <w:iCs/>
        </w:rPr>
        <w:t xml:space="preserve"> </w:t>
      </w:r>
      <w:r w:rsidR="004150EF">
        <w:rPr>
          <w:rFonts w:ascii="Calibri" w:hAnsi="Calibri"/>
          <w:iCs/>
        </w:rPr>
        <w:t xml:space="preserve">all’introduzione </w:t>
      </w:r>
      <w:r w:rsidR="005F642D">
        <w:rPr>
          <w:rFonts w:ascii="Calibri" w:hAnsi="Calibri"/>
          <w:iCs/>
        </w:rPr>
        <w:t xml:space="preserve">di </w:t>
      </w:r>
      <w:r w:rsidR="00DB15F8">
        <w:rPr>
          <w:rFonts w:ascii="Calibri" w:hAnsi="Calibri"/>
          <w:iCs/>
        </w:rPr>
        <w:t xml:space="preserve">criteri di </w:t>
      </w:r>
      <w:r w:rsidR="005F642D">
        <w:rPr>
          <w:rFonts w:ascii="Calibri" w:hAnsi="Calibri"/>
          <w:iCs/>
        </w:rPr>
        <w:t>selezione ed aggiudicazione quanto più possibile oggettivi</w:t>
      </w:r>
      <w:r w:rsidR="00DB15F8">
        <w:rPr>
          <w:rFonts w:ascii="Calibri" w:hAnsi="Calibri"/>
          <w:iCs/>
        </w:rPr>
        <w:t xml:space="preserve"> e verificabili </w:t>
      </w:r>
      <w:r w:rsidR="002A00A5" w:rsidRPr="002A00A5">
        <w:rPr>
          <w:rFonts w:ascii="Calibri" w:hAnsi="Calibri"/>
          <w:i/>
          <w:iCs/>
        </w:rPr>
        <w:t>ex post</w:t>
      </w:r>
      <w:r w:rsidR="005F642D">
        <w:rPr>
          <w:rFonts w:ascii="Calibri" w:hAnsi="Calibri"/>
          <w:iCs/>
        </w:rPr>
        <w:t>)</w:t>
      </w:r>
      <w:r w:rsidR="00094D79">
        <w:rPr>
          <w:rFonts w:ascii="Calibri" w:hAnsi="Calibri"/>
          <w:iCs/>
        </w:rPr>
        <w:t>.</w:t>
      </w:r>
    </w:p>
    <w:p w:rsidR="00A546DE" w:rsidRDefault="004A0CB2">
      <w:pPr>
        <w:pStyle w:val="Corpodeltesto"/>
        <w:spacing w:line="360" w:lineRule="auto"/>
        <w:ind w:left="360" w:right="567"/>
        <w:jc w:val="both"/>
        <w:rPr>
          <w:rFonts w:ascii="Calibri" w:hAnsi="Calibri"/>
          <w:iCs/>
        </w:rPr>
      </w:pPr>
      <w:r>
        <w:rPr>
          <w:rFonts w:ascii="Calibri" w:hAnsi="Calibri"/>
          <w:iCs/>
        </w:rPr>
        <w:t xml:space="preserve">Il </w:t>
      </w:r>
      <w:r w:rsidRPr="005C204C">
        <w:rPr>
          <w:rFonts w:ascii="Calibri" w:hAnsi="Calibri"/>
          <w:i/>
          <w:iCs/>
        </w:rPr>
        <w:t>trade-off</w:t>
      </w:r>
      <w:r>
        <w:rPr>
          <w:rFonts w:ascii="Calibri" w:hAnsi="Calibri"/>
          <w:iCs/>
        </w:rPr>
        <w:t xml:space="preserve"> tra concorrenza e qualità</w:t>
      </w:r>
      <w:r w:rsidR="00B45AC1">
        <w:rPr>
          <w:rFonts w:ascii="Calibri" w:hAnsi="Calibri"/>
          <w:iCs/>
        </w:rPr>
        <w:t xml:space="preserve">, che si viene </w:t>
      </w:r>
      <w:r w:rsidR="00997F8B">
        <w:rPr>
          <w:rFonts w:ascii="Calibri" w:hAnsi="Calibri"/>
          <w:iCs/>
        </w:rPr>
        <w:t xml:space="preserve">in tal modo </w:t>
      </w:r>
      <w:r w:rsidR="00B45AC1">
        <w:rPr>
          <w:rFonts w:ascii="Calibri" w:hAnsi="Calibri"/>
          <w:iCs/>
        </w:rPr>
        <w:t>a creare, viene spesso risolto a favore della prima</w:t>
      </w:r>
      <w:r w:rsidR="006266DF">
        <w:rPr>
          <w:rFonts w:ascii="Calibri" w:hAnsi="Calibri"/>
          <w:iCs/>
        </w:rPr>
        <w:t xml:space="preserve">, </w:t>
      </w:r>
      <w:r w:rsidR="00DB15F8">
        <w:rPr>
          <w:rFonts w:ascii="Calibri" w:hAnsi="Calibri"/>
          <w:iCs/>
        </w:rPr>
        <w:t>specialmente</w:t>
      </w:r>
      <w:r w:rsidR="006266DF">
        <w:rPr>
          <w:rFonts w:ascii="Calibri" w:hAnsi="Calibri"/>
          <w:iCs/>
        </w:rPr>
        <w:t xml:space="preserve"> </w:t>
      </w:r>
      <w:r w:rsidR="006266DF">
        <w:rPr>
          <w:rFonts w:ascii="Calibri" w:hAnsi="Calibri"/>
        </w:rPr>
        <w:t>nei casi in cui il criterio di aggiudicazione adottato è quello del prezzo più basso</w:t>
      </w:r>
      <w:r w:rsidR="007B10E0">
        <w:rPr>
          <w:rFonts w:ascii="Calibri" w:hAnsi="Calibri"/>
          <w:iCs/>
        </w:rPr>
        <w:t>.</w:t>
      </w:r>
      <w:r w:rsidR="00B45AC1">
        <w:rPr>
          <w:rFonts w:ascii="Calibri" w:hAnsi="Calibri"/>
          <w:iCs/>
        </w:rPr>
        <w:t xml:space="preserve"> </w:t>
      </w:r>
    </w:p>
    <w:p w:rsidR="00A546DE" w:rsidRDefault="00B45AC1">
      <w:pPr>
        <w:pStyle w:val="Corpodeltesto"/>
        <w:spacing w:line="360" w:lineRule="auto"/>
        <w:ind w:left="360" w:right="567"/>
        <w:jc w:val="both"/>
        <w:rPr>
          <w:rFonts w:ascii="Calibri" w:hAnsi="Calibri"/>
          <w:iCs/>
        </w:rPr>
      </w:pPr>
      <w:r>
        <w:rPr>
          <w:rFonts w:ascii="Calibri" w:hAnsi="Calibri"/>
          <w:iCs/>
        </w:rPr>
        <w:t xml:space="preserve">Tuttavia, </w:t>
      </w:r>
      <w:r>
        <w:rPr>
          <w:rFonts w:ascii="Calibri" w:hAnsi="Calibri"/>
        </w:rPr>
        <w:t>soprattutto per quanto riguarda il settore dei lavori (</w:t>
      </w:r>
      <w:r w:rsidR="00DB15F8">
        <w:rPr>
          <w:rFonts w:ascii="Calibri" w:hAnsi="Calibri"/>
        </w:rPr>
        <w:t xml:space="preserve">caratterizzato dall’esecuzione di </w:t>
      </w:r>
      <w:r w:rsidR="008B5421">
        <w:rPr>
          <w:rFonts w:ascii="Calibri" w:hAnsi="Calibri"/>
        </w:rPr>
        <w:t>opere non so</w:t>
      </w:r>
      <w:r w:rsidR="00997F8B">
        <w:rPr>
          <w:rFonts w:ascii="Calibri" w:hAnsi="Calibri"/>
        </w:rPr>
        <w:t>s</w:t>
      </w:r>
      <w:r w:rsidR="008B5421">
        <w:rPr>
          <w:rFonts w:ascii="Calibri" w:hAnsi="Calibri"/>
        </w:rPr>
        <w:t>tituibili nel breve e nel medio periodo)</w:t>
      </w:r>
      <w:r w:rsidR="007B10E0">
        <w:rPr>
          <w:rFonts w:ascii="Calibri" w:hAnsi="Calibri"/>
        </w:rPr>
        <w:t xml:space="preserve">, </w:t>
      </w:r>
      <w:r w:rsidR="00997F8B">
        <w:rPr>
          <w:rFonts w:ascii="Calibri" w:hAnsi="Calibri"/>
        </w:rPr>
        <w:t xml:space="preserve">il rigoroso rispetto dei dettami </w:t>
      </w:r>
      <w:r w:rsidR="00DB15F8">
        <w:rPr>
          <w:rFonts w:ascii="Calibri" w:hAnsi="Calibri"/>
        </w:rPr>
        <w:t>pro-concorrenziali</w:t>
      </w:r>
      <w:r w:rsidR="00997F8B">
        <w:rPr>
          <w:rFonts w:ascii="Calibri" w:hAnsi="Calibri"/>
        </w:rPr>
        <w:t xml:space="preserve"> – </w:t>
      </w:r>
      <w:r w:rsidR="00DB15F8">
        <w:rPr>
          <w:rFonts w:ascii="Calibri" w:hAnsi="Calibri"/>
        </w:rPr>
        <w:t>sep</w:t>
      </w:r>
      <w:r w:rsidR="00997F8B">
        <w:rPr>
          <w:rFonts w:ascii="Calibri" w:hAnsi="Calibri"/>
        </w:rPr>
        <w:t xml:space="preserve">pur necessario - </w:t>
      </w:r>
      <w:r w:rsidR="00DB15F8">
        <w:rPr>
          <w:rFonts w:ascii="Calibri" w:hAnsi="Calibri"/>
        </w:rPr>
        <w:t xml:space="preserve">può non </w:t>
      </w:r>
      <w:r w:rsidR="004A0CB2" w:rsidRPr="0005304D">
        <w:rPr>
          <w:rFonts w:ascii="Calibri" w:hAnsi="Calibri"/>
        </w:rPr>
        <w:t>garanti</w:t>
      </w:r>
      <w:r w:rsidR="00DB15F8">
        <w:rPr>
          <w:rFonts w:ascii="Calibri" w:hAnsi="Calibri"/>
        </w:rPr>
        <w:t>r</w:t>
      </w:r>
      <w:r w:rsidR="004A0CB2" w:rsidRPr="0005304D">
        <w:rPr>
          <w:rFonts w:ascii="Calibri" w:hAnsi="Calibri"/>
        </w:rPr>
        <w:t xml:space="preserve">e </w:t>
      </w:r>
      <w:r w:rsidR="002A00A5" w:rsidRPr="002A00A5">
        <w:rPr>
          <w:rFonts w:ascii="Calibri" w:hAnsi="Calibri"/>
          <w:i/>
        </w:rPr>
        <w:t>ex se</w:t>
      </w:r>
      <w:r>
        <w:rPr>
          <w:rFonts w:ascii="Calibri" w:hAnsi="Calibri"/>
        </w:rPr>
        <w:t xml:space="preserve"> </w:t>
      </w:r>
      <w:r w:rsidR="004A0CB2" w:rsidRPr="0005304D">
        <w:rPr>
          <w:rFonts w:ascii="Calibri" w:hAnsi="Calibri"/>
        </w:rPr>
        <w:t>la qualità del</w:t>
      </w:r>
      <w:r>
        <w:rPr>
          <w:rFonts w:ascii="Calibri" w:hAnsi="Calibri"/>
        </w:rPr>
        <w:t xml:space="preserve">la prestazione, </w:t>
      </w:r>
      <w:r w:rsidR="006266DF">
        <w:rPr>
          <w:rFonts w:ascii="Calibri" w:hAnsi="Calibri"/>
        </w:rPr>
        <w:t>attes</w:t>
      </w:r>
      <w:r w:rsidR="000F7EF7">
        <w:rPr>
          <w:rFonts w:ascii="Calibri" w:hAnsi="Calibri"/>
        </w:rPr>
        <w:t>a</w:t>
      </w:r>
      <w:r w:rsidR="006266DF">
        <w:rPr>
          <w:rFonts w:ascii="Calibri" w:hAnsi="Calibri"/>
        </w:rPr>
        <w:t xml:space="preserve"> anche l’</w:t>
      </w:r>
      <w:r>
        <w:rPr>
          <w:rFonts w:ascii="Calibri" w:hAnsi="Calibri"/>
        </w:rPr>
        <w:t xml:space="preserve">assenza </w:t>
      </w:r>
      <w:r w:rsidR="006266DF">
        <w:rPr>
          <w:rFonts w:ascii="Calibri" w:hAnsi="Calibri"/>
        </w:rPr>
        <w:t xml:space="preserve">di un meccanismo automatico e </w:t>
      </w:r>
      <w:r w:rsidR="006266DF" w:rsidRPr="0005304D">
        <w:rPr>
          <w:rFonts w:ascii="Calibri" w:hAnsi="Calibri"/>
        </w:rPr>
        <w:t xml:space="preserve">spontaneo </w:t>
      </w:r>
      <w:r w:rsidR="006266DF">
        <w:rPr>
          <w:rFonts w:ascii="Calibri" w:hAnsi="Calibri"/>
        </w:rPr>
        <w:t>di</w:t>
      </w:r>
      <w:r w:rsidR="006266DF" w:rsidRPr="0005304D">
        <w:rPr>
          <w:rFonts w:ascii="Calibri" w:hAnsi="Calibri"/>
        </w:rPr>
        <w:t xml:space="preserve"> penalizzazione delle imprese meno efficienti</w:t>
      </w:r>
      <w:r w:rsidR="006266DF">
        <w:rPr>
          <w:rFonts w:ascii="Calibri" w:hAnsi="Calibri"/>
        </w:rPr>
        <w:t xml:space="preserve">, presente invece in altri </w:t>
      </w:r>
      <w:r w:rsidR="006266DF">
        <w:rPr>
          <w:rFonts w:ascii="Calibri" w:hAnsi="Calibri"/>
        </w:rPr>
        <w:lastRenderedPageBreak/>
        <w:t>mercati</w:t>
      </w:r>
      <w:r w:rsidR="006266DF" w:rsidRPr="0005304D">
        <w:rPr>
          <w:rFonts w:ascii="Calibri" w:hAnsi="Calibri"/>
        </w:rPr>
        <w:t>.</w:t>
      </w:r>
      <w:r w:rsidR="006266DF">
        <w:rPr>
          <w:rFonts w:ascii="Calibri" w:hAnsi="Calibri"/>
        </w:rPr>
        <w:t xml:space="preserve"> </w:t>
      </w:r>
    </w:p>
    <w:p w:rsidR="00A546DE" w:rsidRDefault="00DB15F8">
      <w:pPr>
        <w:pStyle w:val="Corpodeltesto"/>
        <w:spacing w:line="360" w:lineRule="auto"/>
        <w:ind w:left="360" w:right="567"/>
        <w:jc w:val="both"/>
        <w:rPr>
          <w:rFonts w:ascii="Calibri" w:hAnsi="Calibri"/>
        </w:rPr>
      </w:pPr>
      <w:r>
        <w:rPr>
          <w:rFonts w:ascii="Calibri" w:hAnsi="Calibri"/>
        </w:rPr>
        <w:t>In tale ottica, assume importanza rilevante la possibilità di valorizzare il patrimonio informativo a disposizione delle stazioni appaltanti, in modo da disporre di dati verificabili  sulla condotta imprenditoriale degli operatori e, in ultima analisi, sulla reputazione degli stessi.</w:t>
      </w:r>
    </w:p>
    <w:p w:rsidR="00A546DE" w:rsidRDefault="005F642D">
      <w:pPr>
        <w:pStyle w:val="Corpodeltesto"/>
        <w:spacing w:line="360" w:lineRule="auto"/>
        <w:ind w:left="360" w:right="567"/>
        <w:jc w:val="both"/>
        <w:rPr>
          <w:rFonts w:ascii="Calibri" w:hAnsi="Calibri"/>
          <w:iCs/>
        </w:rPr>
      </w:pPr>
      <w:r>
        <w:rPr>
          <w:rFonts w:ascii="Calibri" w:hAnsi="Calibri"/>
          <w:iCs/>
        </w:rPr>
        <w:t xml:space="preserve">Al riguardo, </w:t>
      </w:r>
      <w:r w:rsidR="001A009D">
        <w:rPr>
          <w:rFonts w:ascii="Calibri" w:hAnsi="Calibri"/>
          <w:iCs/>
        </w:rPr>
        <w:t xml:space="preserve">come noto, </w:t>
      </w:r>
      <w:r w:rsidRPr="005F642D">
        <w:rPr>
          <w:rFonts w:ascii="Calibri" w:hAnsi="Calibri"/>
          <w:iCs/>
        </w:rPr>
        <w:t>l’art</w:t>
      </w:r>
      <w:r>
        <w:rPr>
          <w:rFonts w:ascii="Calibri" w:hAnsi="Calibri"/>
          <w:iCs/>
        </w:rPr>
        <w:t xml:space="preserve">icolo </w:t>
      </w:r>
      <w:r w:rsidRPr="005F642D">
        <w:rPr>
          <w:rFonts w:ascii="Calibri" w:hAnsi="Calibri"/>
          <w:iCs/>
        </w:rPr>
        <w:t xml:space="preserve"> 38, comma 1, lett. f)</w:t>
      </w:r>
      <w:r w:rsidR="001A009D">
        <w:rPr>
          <w:rFonts w:ascii="Calibri" w:hAnsi="Calibri"/>
          <w:iCs/>
        </w:rPr>
        <w:t xml:space="preserve"> del Codice, </w:t>
      </w:r>
      <w:r w:rsidRPr="005F642D">
        <w:rPr>
          <w:rFonts w:ascii="Calibri" w:hAnsi="Calibri"/>
          <w:iCs/>
        </w:rPr>
        <w:t>i</w:t>
      </w:r>
      <w:r>
        <w:rPr>
          <w:rFonts w:ascii="Calibri" w:hAnsi="Calibri"/>
          <w:iCs/>
        </w:rPr>
        <w:t>n tema di requisiti generali di partecipazione</w:t>
      </w:r>
      <w:r w:rsidR="008B5421">
        <w:rPr>
          <w:rFonts w:ascii="Calibri" w:hAnsi="Calibri"/>
          <w:iCs/>
        </w:rPr>
        <w:t xml:space="preserve">, </w:t>
      </w:r>
      <w:r w:rsidR="001A009D">
        <w:rPr>
          <w:rFonts w:ascii="Calibri" w:hAnsi="Calibri"/>
          <w:iCs/>
        </w:rPr>
        <w:t>considera la condotta pregressa degli operatori quale causa ostativa della partecipazione a future gare (in tal senso può parlarsi di “</w:t>
      </w:r>
      <w:r w:rsidR="001A009D" w:rsidRPr="00DE220C">
        <w:rPr>
          <w:rFonts w:ascii="Calibri" w:hAnsi="Calibri"/>
          <w:b/>
          <w:iCs/>
        </w:rPr>
        <w:t>reputazione negativa</w:t>
      </w:r>
      <w:r w:rsidR="001A009D">
        <w:rPr>
          <w:rFonts w:ascii="Calibri" w:hAnsi="Calibri"/>
          <w:iCs/>
        </w:rPr>
        <w:t xml:space="preserve">”), stabilendo che </w:t>
      </w:r>
      <w:r w:rsidRPr="005F642D">
        <w:rPr>
          <w:rFonts w:ascii="Calibri" w:hAnsi="Calibri"/>
          <w:iCs/>
        </w:rPr>
        <w:t>la stazione appaltante non può stipulare i contratti con soggetti che, secondo motivata valutazione, hanno commesso grave negligenza o malafede nell’esecuzione delle prestazioni affidate dalla stazione appaltante che bandisce la gara, ovvero che hanno commesso un errore grave nell’esercizio della loro attività professionale, accertato con qualsiasi mezzo di prova da parte della stazione appaltante.</w:t>
      </w:r>
    </w:p>
    <w:p w:rsidR="00A546DE" w:rsidRDefault="008B5421">
      <w:pPr>
        <w:pStyle w:val="Corpodeltesto"/>
        <w:spacing w:line="360" w:lineRule="auto"/>
        <w:ind w:left="360" w:right="567"/>
        <w:jc w:val="both"/>
        <w:rPr>
          <w:rFonts w:ascii="Calibri" w:hAnsi="Calibri"/>
          <w:iCs/>
        </w:rPr>
      </w:pPr>
      <w:r>
        <w:rPr>
          <w:rFonts w:ascii="Calibri" w:hAnsi="Calibri"/>
          <w:iCs/>
        </w:rPr>
        <w:t>Da ciò emerge che</w:t>
      </w:r>
      <w:r w:rsidR="005F642D">
        <w:rPr>
          <w:rFonts w:ascii="Calibri" w:hAnsi="Calibri"/>
          <w:iCs/>
        </w:rPr>
        <w:t xml:space="preserve"> la </w:t>
      </w:r>
      <w:r w:rsidR="002A00A5" w:rsidRPr="002A00A5">
        <w:rPr>
          <w:rFonts w:ascii="Calibri" w:hAnsi="Calibri"/>
          <w:i/>
          <w:iCs/>
        </w:rPr>
        <w:t>performance</w:t>
      </w:r>
      <w:r w:rsidR="005F642D">
        <w:rPr>
          <w:rFonts w:ascii="Calibri" w:hAnsi="Calibri"/>
          <w:iCs/>
        </w:rPr>
        <w:t xml:space="preserve"> dell’impresa e la reputazione </w:t>
      </w:r>
      <w:r w:rsidR="006F1B09">
        <w:rPr>
          <w:rFonts w:ascii="Calibri" w:hAnsi="Calibri"/>
          <w:iCs/>
        </w:rPr>
        <w:t>della stessa</w:t>
      </w:r>
      <w:r w:rsidR="005F642D">
        <w:rPr>
          <w:rFonts w:ascii="Calibri" w:hAnsi="Calibri"/>
          <w:iCs/>
        </w:rPr>
        <w:t xml:space="preserve"> sul mercato </w:t>
      </w:r>
      <w:r w:rsidR="006F1B09">
        <w:rPr>
          <w:rFonts w:ascii="Calibri" w:hAnsi="Calibri"/>
          <w:iCs/>
        </w:rPr>
        <w:t>non sono valorizzate come strumenti</w:t>
      </w:r>
      <w:r w:rsidR="004A0CB2">
        <w:rPr>
          <w:rFonts w:ascii="Calibri" w:hAnsi="Calibri"/>
          <w:iCs/>
        </w:rPr>
        <w:t xml:space="preserve"> </w:t>
      </w:r>
      <w:r>
        <w:rPr>
          <w:rFonts w:ascii="Calibri" w:hAnsi="Calibri"/>
          <w:iCs/>
        </w:rPr>
        <w:t xml:space="preserve">idonei </w:t>
      </w:r>
      <w:r w:rsidR="006F1B09">
        <w:rPr>
          <w:rFonts w:ascii="Calibri" w:hAnsi="Calibri"/>
          <w:iCs/>
        </w:rPr>
        <w:t>ad assicurare la qualità delle future prestazioni</w:t>
      </w:r>
      <w:r w:rsidR="004A0CB2">
        <w:rPr>
          <w:rFonts w:ascii="Calibri" w:hAnsi="Calibri"/>
          <w:iCs/>
        </w:rPr>
        <w:t xml:space="preserve"> e la selezione </w:t>
      </w:r>
      <w:r w:rsidR="00A86566">
        <w:rPr>
          <w:rFonts w:ascii="Calibri" w:hAnsi="Calibri"/>
          <w:iCs/>
        </w:rPr>
        <w:t xml:space="preserve">dell’operatore che sia, al contempo, </w:t>
      </w:r>
      <w:r w:rsidR="004A0CB2">
        <w:rPr>
          <w:rFonts w:ascii="Calibri" w:hAnsi="Calibri"/>
          <w:iCs/>
        </w:rPr>
        <w:t xml:space="preserve">miglior offerente </w:t>
      </w:r>
      <w:r w:rsidR="00A86566">
        <w:rPr>
          <w:rFonts w:ascii="Calibri" w:hAnsi="Calibri"/>
          <w:iCs/>
        </w:rPr>
        <w:t>e</w:t>
      </w:r>
      <w:r w:rsidR="004A0CB2">
        <w:rPr>
          <w:rFonts w:ascii="Calibri" w:hAnsi="Calibri"/>
          <w:iCs/>
        </w:rPr>
        <w:t xml:space="preserve"> miglior “esecutore” </w:t>
      </w:r>
      <w:r w:rsidR="004E7B1C">
        <w:rPr>
          <w:rFonts w:ascii="Calibri" w:hAnsi="Calibri"/>
          <w:iCs/>
        </w:rPr>
        <w:t>(in tal senso</w:t>
      </w:r>
      <w:r w:rsidR="001A009D">
        <w:rPr>
          <w:rFonts w:ascii="Calibri" w:hAnsi="Calibri"/>
          <w:iCs/>
        </w:rPr>
        <w:t>,</w:t>
      </w:r>
      <w:r w:rsidR="004E7B1C">
        <w:rPr>
          <w:rFonts w:ascii="Calibri" w:hAnsi="Calibri"/>
          <w:iCs/>
        </w:rPr>
        <w:t xml:space="preserve"> può parlarsi di “</w:t>
      </w:r>
      <w:r w:rsidR="004E7B1C" w:rsidRPr="004E7B1C">
        <w:rPr>
          <w:rFonts w:ascii="Calibri" w:hAnsi="Calibri"/>
          <w:b/>
          <w:iCs/>
        </w:rPr>
        <w:t xml:space="preserve">reputazione </w:t>
      </w:r>
      <w:r w:rsidR="004E7B1C">
        <w:rPr>
          <w:rFonts w:ascii="Calibri" w:hAnsi="Calibri"/>
          <w:b/>
          <w:iCs/>
        </w:rPr>
        <w:t>positiva</w:t>
      </w:r>
      <w:r w:rsidR="004E7B1C">
        <w:rPr>
          <w:rFonts w:ascii="Calibri" w:hAnsi="Calibri"/>
          <w:iCs/>
        </w:rPr>
        <w:t>”)</w:t>
      </w:r>
      <w:r w:rsidR="006F1B09">
        <w:rPr>
          <w:rFonts w:ascii="Calibri" w:hAnsi="Calibri"/>
          <w:iCs/>
        </w:rPr>
        <w:t xml:space="preserve">. </w:t>
      </w:r>
    </w:p>
    <w:p w:rsidR="00BD0811" w:rsidRPr="00C66C04" w:rsidRDefault="0040481C" w:rsidP="00BD0811">
      <w:pPr>
        <w:pStyle w:val="Corpodeltesto"/>
        <w:spacing w:line="360" w:lineRule="auto"/>
        <w:ind w:left="360" w:right="567"/>
        <w:jc w:val="both"/>
        <w:rPr>
          <w:rFonts w:ascii="Calibri" w:hAnsi="Calibri"/>
          <w:iCs/>
          <w:color w:val="auto"/>
        </w:rPr>
      </w:pPr>
      <w:r>
        <w:rPr>
          <w:rFonts w:ascii="Calibri" w:hAnsi="Calibri"/>
          <w:iCs/>
        </w:rPr>
        <w:t xml:space="preserve">La mancata valorizzazione del patrimonio informativo sulle </w:t>
      </w:r>
      <w:r w:rsidR="002A00A5" w:rsidRPr="002A00A5">
        <w:rPr>
          <w:rFonts w:ascii="Calibri" w:hAnsi="Calibri"/>
          <w:i/>
          <w:iCs/>
        </w:rPr>
        <w:t>performance</w:t>
      </w:r>
      <w:r>
        <w:rPr>
          <w:rFonts w:ascii="Calibri" w:hAnsi="Calibri"/>
          <w:iCs/>
        </w:rPr>
        <w:t xml:space="preserve"> pregresse conduce, di fatto, ad un’asimmetria informativa </w:t>
      </w:r>
      <w:r w:rsidR="005C204C">
        <w:rPr>
          <w:rFonts w:ascii="Calibri" w:hAnsi="Calibri"/>
          <w:iCs/>
        </w:rPr>
        <w:t>tra stazione appaltante e</w:t>
      </w:r>
      <w:r>
        <w:rPr>
          <w:rFonts w:ascii="Calibri" w:hAnsi="Calibri"/>
          <w:iCs/>
        </w:rPr>
        <w:t>d</w:t>
      </w:r>
      <w:r w:rsidR="005C204C">
        <w:rPr>
          <w:rFonts w:ascii="Calibri" w:hAnsi="Calibri"/>
          <w:iCs/>
        </w:rPr>
        <w:t xml:space="preserve"> impresa esecutrice dell’appalto. </w:t>
      </w:r>
      <w:r>
        <w:rPr>
          <w:rFonts w:ascii="Calibri" w:hAnsi="Calibri"/>
          <w:iCs/>
        </w:rPr>
        <w:t xml:space="preserve">In questo senso, può </w:t>
      </w:r>
      <w:r w:rsidR="005C204C">
        <w:rPr>
          <w:rFonts w:ascii="Calibri" w:hAnsi="Calibri"/>
          <w:iCs/>
        </w:rPr>
        <w:t>emergere</w:t>
      </w:r>
      <w:r w:rsidR="003973B6">
        <w:rPr>
          <w:rFonts w:ascii="Calibri" w:hAnsi="Calibri"/>
          <w:iCs/>
        </w:rPr>
        <w:t xml:space="preserve"> </w:t>
      </w:r>
      <w:r>
        <w:rPr>
          <w:rFonts w:ascii="Calibri" w:hAnsi="Calibri"/>
          <w:iCs/>
        </w:rPr>
        <w:t xml:space="preserve">sia </w:t>
      </w:r>
      <w:r w:rsidR="005C204C">
        <w:rPr>
          <w:rFonts w:ascii="Calibri" w:hAnsi="Calibri"/>
          <w:iCs/>
        </w:rPr>
        <w:t xml:space="preserve">un problema di selezione avversa nel momento della gara </w:t>
      </w:r>
      <w:r>
        <w:rPr>
          <w:rFonts w:ascii="Calibri" w:hAnsi="Calibri"/>
          <w:iCs/>
        </w:rPr>
        <w:t xml:space="preserve">sia </w:t>
      </w:r>
      <w:r w:rsidR="005C204C">
        <w:rPr>
          <w:rFonts w:ascii="Calibri" w:hAnsi="Calibri"/>
          <w:iCs/>
        </w:rPr>
        <w:t xml:space="preserve">uno di azzardo morale durante il periodo di esecuzione del contratto. </w:t>
      </w:r>
      <w:r w:rsidR="00BD0811" w:rsidRPr="00C66C04">
        <w:rPr>
          <w:rFonts w:ascii="Calibri" w:hAnsi="Calibri"/>
          <w:iCs/>
          <w:color w:val="auto"/>
        </w:rPr>
        <w:t xml:space="preserve">I problemi di selezione avversa scaturiscono da asimmetrie informative che si verificano </w:t>
      </w:r>
      <w:r w:rsidR="00BD0811" w:rsidRPr="00C66C04">
        <w:rPr>
          <w:rFonts w:ascii="Calibri" w:hAnsi="Calibri"/>
          <w:i/>
          <w:iCs/>
          <w:color w:val="auto"/>
        </w:rPr>
        <w:t>ex ante</w:t>
      </w:r>
      <w:r w:rsidR="00BD0811" w:rsidRPr="00C66C04">
        <w:rPr>
          <w:rFonts w:ascii="Calibri" w:hAnsi="Calibri"/>
          <w:iCs/>
          <w:color w:val="auto"/>
        </w:rPr>
        <w:t xml:space="preserve"> vale a dire prima della conclusione del contratto. In questi casi la stazione appaltante non conosce l’affidabilità delle imprese che partecipano alla gara. Le amministrazioni aggiudicatrici, una volta verificati i requisiti generali e speciali degli operatori economici utili ai fini della partecipazione aggiudicano all’impresa “migliore offerente”. Tuttavia, la stazione appaltante non è in grado di sapere </w:t>
      </w:r>
      <w:r w:rsidR="00BD0811" w:rsidRPr="00C66C04">
        <w:rPr>
          <w:rFonts w:ascii="Calibri" w:hAnsi="Calibri"/>
          <w:iCs/>
          <w:color w:val="auto"/>
        </w:rPr>
        <w:lastRenderedPageBreak/>
        <w:t>in anticipo se l’impresa aggiudicataria sarà in grado di eseguire l’appalto in modo corretto. Nonostante la valutazione dei requisiti di partecipazione l’affidamento di un appalto all’impresa aggiudicataria potrebbe consider</w:t>
      </w:r>
      <w:r w:rsidR="00D35E42">
        <w:rPr>
          <w:rFonts w:ascii="Calibri" w:hAnsi="Calibri"/>
          <w:iCs/>
          <w:color w:val="auto"/>
        </w:rPr>
        <w:t>ar</w:t>
      </w:r>
      <w:r w:rsidR="00BD0811" w:rsidRPr="00C66C04">
        <w:rPr>
          <w:rFonts w:ascii="Calibri" w:hAnsi="Calibri"/>
          <w:iCs/>
          <w:color w:val="auto"/>
        </w:rPr>
        <w:t xml:space="preserve">si quasi come una “scommessa”. I problemi di selezione avversa possono essere particolarmente avvertiti in alcuni casi in cui il ribasso è molto elevato; sconti eccessivi potrebbero essere offerti non perché legati a condizioni produttive particolarmente favorevoli di cui gode un’impresa ma piuttosto essere il risultato di scelte strategiche attraverso le quali l’impresa pur di  acquisire una commessa formula un’offerta non in linea con le proprie capacità produttive. </w:t>
      </w:r>
    </w:p>
    <w:p w:rsidR="00A546DE" w:rsidRPr="003973B6" w:rsidRDefault="004A0CB2" w:rsidP="003973B6">
      <w:pPr>
        <w:pStyle w:val="Corpodeltesto"/>
        <w:spacing w:line="360" w:lineRule="auto"/>
        <w:ind w:left="360" w:right="567"/>
        <w:jc w:val="both"/>
        <w:rPr>
          <w:rFonts w:ascii="Calibri" w:hAnsi="Calibri"/>
          <w:iCs/>
        </w:rPr>
      </w:pPr>
      <w:r>
        <w:rPr>
          <w:rFonts w:ascii="Calibri" w:hAnsi="Calibri"/>
          <w:iCs/>
        </w:rPr>
        <w:t>A meno di gravi inadempienze annotate nel Casellario – che</w:t>
      </w:r>
      <w:r w:rsidR="008B5421">
        <w:rPr>
          <w:rFonts w:ascii="Calibri" w:hAnsi="Calibri"/>
          <w:iCs/>
        </w:rPr>
        <w:t>, come visto,</w:t>
      </w:r>
      <w:r>
        <w:rPr>
          <w:rFonts w:ascii="Calibri" w:hAnsi="Calibri"/>
          <w:iCs/>
        </w:rPr>
        <w:t xml:space="preserve"> possono integrare una causa di di esclusione dalla gara - la stazione appaltante è</w:t>
      </w:r>
      <w:r w:rsidR="0040481C">
        <w:rPr>
          <w:rFonts w:ascii="Calibri" w:hAnsi="Calibri"/>
          <w:iCs/>
        </w:rPr>
        <w:t>, infatti,</w:t>
      </w:r>
      <w:r>
        <w:rPr>
          <w:rFonts w:ascii="Calibri" w:hAnsi="Calibri"/>
          <w:iCs/>
        </w:rPr>
        <w:t xml:space="preserve"> tenuta a selezionare la migliore offerta sulla base del prezzo ovvero sulla base di una serie di parametri nell’ambito del criterio dell’offerta economicamente più vantaggiosa.</w:t>
      </w:r>
      <w:r w:rsidR="0040481C">
        <w:rPr>
          <w:rFonts w:ascii="Calibri" w:hAnsi="Calibri"/>
          <w:iCs/>
        </w:rPr>
        <w:t xml:space="preserve"> </w:t>
      </w:r>
      <w:r w:rsidR="005C204C">
        <w:rPr>
          <w:rFonts w:ascii="Calibri" w:hAnsi="Calibri"/>
          <w:iCs/>
        </w:rPr>
        <w:t>La selezione avversa può</w:t>
      </w:r>
      <w:r>
        <w:rPr>
          <w:rFonts w:ascii="Calibri" w:hAnsi="Calibri"/>
          <w:iCs/>
        </w:rPr>
        <w:t>, allora,</w:t>
      </w:r>
      <w:r w:rsidR="005C204C">
        <w:rPr>
          <w:rFonts w:ascii="Calibri" w:hAnsi="Calibri"/>
          <w:iCs/>
        </w:rPr>
        <w:t xml:space="preserve"> presentarsi in quanto la stazione appaltante</w:t>
      </w:r>
      <w:r w:rsidR="006F1B09">
        <w:rPr>
          <w:rFonts w:ascii="Calibri" w:hAnsi="Calibri"/>
          <w:iCs/>
        </w:rPr>
        <w:t xml:space="preserve"> </w:t>
      </w:r>
      <w:r w:rsidR="008B5421">
        <w:rPr>
          <w:rFonts w:ascii="Calibri" w:hAnsi="Calibri"/>
          <w:iCs/>
        </w:rPr>
        <w:t xml:space="preserve">non sempre si trova </w:t>
      </w:r>
      <w:r w:rsidR="006F1B09">
        <w:rPr>
          <w:rFonts w:ascii="Calibri" w:hAnsi="Calibri"/>
          <w:iCs/>
        </w:rPr>
        <w:t>nell</w:t>
      </w:r>
      <w:r w:rsidR="008B5421">
        <w:rPr>
          <w:rFonts w:ascii="Calibri" w:hAnsi="Calibri"/>
          <w:iCs/>
        </w:rPr>
        <w:t xml:space="preserve">a condizione </w:t>
      </w:r>
      <w:r w:rsidR="006F1B09">
        <w:rPr>
          <w:rFonts w:ascii="Calibri" w:hAnsi="Calibri"/>
          <w:iCs/>
        </w:rPr>
        <w:t>di</w:t>
      </w:r>
      <w:r w:rsidR="008B5421">
        <w:rPr>
          <w:rFonts w:ascii="Calibri" w:hAnsi="Calibri"/>
          <w:iCs/>
        </w:rPr>
        <w:t xml:space="preserve"> poter</w:t>
      </w:r>
      <w:r w:rsidR="006F1B09">
        <w:rPr>
          <w:rFonts w:ascii="Calibri" w:hAnsi="Calibri"/>
          <w:iCs/>
        </w:rPr>
        <w:t xml:space="preserve"> valutare</w:t>
      </w:r>
      <w:r w:rsidR="00E8558A">
        <w:rPr>
          <w:rFonts w:ascii="Calibri" w:hAnsi="Calibri"/>
          <w:iCs/>
        </w:rPr>
        <w:t>,</w:t>
      </w:r>
      <w:r w:rsidR="006F1B09">
        <w:rPr>
          <w:rFonts w:ascii="Calibri" w:hAnsi="Calibri"/>
          <w:iCs/>
        </w:rPr>
        <w:t xml:space="preserve"> nel dettaglio</w:t>
      </w:r>
      <w:r w:rsidR="00E8558A">
        <w:rPr>
          <w:rFonts w:ascii="Calibri" w:hAnsi="Calibri"/>
          <w:iCs/>
        </w:rPr>
        <w:t>,</w:t>
      </w:r>
      <w:r w:rsidR="006F1B09">
        <w:rPr>
          <w:rFonts w:ascii="Calibri" w:hAnsi="Calibri"/>
          <w:iCs/>
        </w:rPr>
        <w:t xml:space="preserve"> </w:t>
      </w:r>
      <w:r w:rsidR="005C204C">
        <w:rPr>
          <w:rFonts w:ascii="Calibri" w:hAnsi="Calibri"/>
          <w:iCs/>
        </w:rPr>
        <w:t xml:space="preserve">il </w:t>
      </w:r>
      <w:r w:rsidR="002A00A5" w:rsidRPr="002A00A5">
        <w:rPr>
          <w:rFonts w:ascii="Calibri" w:hAnsi="Calibri"/>
          <w:i/>
          <w:iCs/>
        </w:rPr>
        <w:t>curriculum</w:t>
      </w:r>
      <w:r w:rsidR="005C204C">
        <w:rPr>
          <w:rFonts w:ascii="Calibri" w:hAnsi="Calibri"/>
          <w:iCs/>
        </w:rPr>
        <w:t xml:space="preserve"> dell’appaltatore</w:t>
      </w:r>
      <w:r w:rsidR="006F1B09">
        <w:rPr>
          <w:rFonts w:ascii="Calibri" w:hAnsi="Calibri"/>
          <w:iCs/>
        </w:rPr>
        <w:t xml:space="preserve"> (ad esempio, perché le informazioni richieste ai fini della partecipazione sono generiche o</w:t>
      </w:r>
      <w:r w:rsidR="0040481C">
        <w:rPr>
          <w:rFonts w:ascii="Calibri" w:hAnsi="Calibri"/>
          <w:iCs/>
        </w:rPr>
        <w:t>, comunque,</w:t>
      </w:r>
      <w:r w:rsidR="006F1B09">
        <w:rPr>
          <w:rFonts w:ascii="Calibri" w:hAnsi="Calibri"/>
          <w:iCs/>
        </w:rPr>
        <w:t xml:space="preserve"> non esaustive)</w:t>
      </w:r>
      <w:r w:rsidR="005C204C">
        <w:rPr>
          <w:rFonts w:ascii="Calibri" w:hAnsi="Calibri"/>
          <w:iCs/>
        </w:rPr>
        <w:t xml:space="preserve">. </w:t>
      </w:r>
      <w:r w:rsidR="0040481C">
        <w:rPr>
          <w:rFonts w:ascii="Calibri" w:hAnsi="Calibri"/>
          <w:iCs/>
        </w:rPr>
        <w:t>Di conseguenza</w:t>
      </w:r>
      <w:r w:rsidR="006F1B09">
        <w:rPr>
          <w:rFonts w:ascii="Calibri" w:hAnsi="Calibri"/>
          <w:iCs/>
        </w:rPr>
        <w:t>,</w:t>
      </w:r>
      <w:r w:rsidR="005C204C">
        <w:rPr>
          <w:rFonts w:ascii="Calibri" w:hAnsi="Calibri"/>
          <w:iCs/>
        </w:rPr>
        <w:t xml:space="preserve"> è possibile che l’impresa aggiudicataria non sia</w:t>
      </w:r>
      <w:r w:rsidR="006F1B09">
        <w:rPr>
          <w:rFonts w:ascii="Calibri" w:hAnsi="Calibri"/>
          <w:iCs/>
        </w:rPr>
        <w:t>, in effetti,</w:t>
      </w:r>
      <w:r w:rsidR="005C204C">
        <w:rPr>
          <w:rFonts w:ascii="Calibri" w:hAnsi="Calibri"/>
          <w:iCs/>
        </w:rPr>
        <w:t xml:space="preserve"> la più idonea a</w:t>
      </w:r>
      <w:r w:rsidR="006F1B09">
        <w:rPr>
          <w:rFonts w:ascii="Calibri" w:hAnsi="Calibri"/>
          <w:iCs/>
        </w:rPr>
        <w:t xml:space="preserve"> soddisfare le esigenze </w:t>
      </w:r>
      <w:r w:rsidR="005C204C">
        <w:rPr>
          <w:rFonts w:ascii="Calibri" w:hAnsi="Calibri"/>
          <w:iCs/>
        </w:rPr>
        <w:t>espresse dall</w:t>
      </w:r>
      <w:r w:rsidR="006F1B09">
        <w:rPr>
          <w:rFonts w:ascii="Calibri" w:hAnsi="Calibri"/>
          <w:iCs/>
        </w:rPr>
        <w:t>a stazione appaltante</w:t>
      </w:r>
      <w:r w:rsidR="005C204C">
        <w:rPr>
          <w:rFonts w:ascii="Calibri" w:hAnsi="Calibri"/>
          <w:iCs/>
        </w:rPr>
        <w:t xml:space="preserve">. </w:t>
      </w:r>
    </w:p>
    <w:p w:rsidR="00BD0811" w:rsidRPr="00C66C04" w:rsidRDefault="00BD0811" w:rsidP="00BD0811">
      <w:pPr>
        <w:pStyle w:val="Corpodeltesto"/>
        <w:spacing w:line="360" w:lineRule="auto"/>
        <w:ind w:left="360" w:right="567"/>
        <w:jc w:val="both"/>
        <w:rPr>
          <w:rFonts w:ascii="Calibri" w:hAnsi="Calibri"/>
          <w:iCs/>
          <w:color w:val="auto"/>
        </w:rPr>
      </w:pPr>
      <w:r w:rsidRPr="00C66C04">
        <w:rPr>
          <w:rFonts w:ascii="Calibri" w:hAnsi="Calibri"/>
          <w:iCs/>
          <w:color w:val="auto"/>
        </w:rPr>
        <w:t xml:space="preserve">I problemi di azzardo morale si verificano, invece, nella fase di esecuzione del contratto. La stazione appaltante spesso non è in grado di monitorare adeguatamente lo sforzo profuso dall’esecutore nella fase di realizzazione dell’appalto e per tale ragione l’esecutore potrebbe sfruttare tale asimmetria informativa a proprio vantaggio. La conseguenza dell’azzardo morale si sostanzia in una esecuzione dell’appalto che può essere scadente e che può avvenire con una tempistica più lunga rispetto a quella inizialmente stimata.  </w:t>
      </w:r>
    </w:p>
    <w:p w:rsidR="00A546DE" w:rsidRDefault="00E8558A">
      <w:pPr>
        <w:pStyle w:val="Corpodeltesto"/>
        <w:spacing w:line="360" w:lineRule="auto"/>
        <w:ind w:left="360" w:right="567"/>
        <w:jc w:val="both"/>
        <w:rPr>
          <w:rFonts w:ascii="Calibri" w:hAnsi="Calibri"/>
        </w:rPr>
      </w:pPr>
      <w:r>
        <w:rPr>
          <w:rFonts w:ascii="Calibri" w:hAnsi="Calibri"/>
          <w:bCs/>
        </w:rPr>
        <w:t xml:space="preserve">Per altro verso, sarebbe opportuno delimitare il concetto di “qualità” della prestazione, in modo da includervi non solo l’apprezzamento </w:t>
      </w:r>
      <w:r w:rsidR="00997F8B">
        <w:rPr>
          <w:rFonts w:ascii="Calibri" w:hAnsi="Calibri"/>
          <w:bCs/>
        </w:rPr>
        <w:t xml:space="preserve">del risultato finale conseguito, </w:t>
      </w:r>
      <w:r w:rsidR="005C204C" w:rsidRPr="00ED1D6F" w:rsidDel="008B5421">
        <w:rPr>
          <w:rFonts w:ascii="Calibri" w:hAnsi="Calibri"/>
          <w:bCs/>
        </w:rPr>
        <w:t>ma anche</w:t>
      </w:r>
      <w:r>
        <w:rPr>
          <w:rFonts w:ascii="Calibri" w:hAnsi="Calibri"/>
          <w:bCs/>
        </w:rPr>
        <w:t xml:space="preserve"> l’efficienza</w:t>
      </w:r>
      <w:r w:rsidR="00C77A3E">
        <w:rPr>
          <w:rFonts w:ascii="Calibri" w:hAnsi="Calibri"/>
          <w:bCs/>
        </w:rPr>
        <w:t xml:space="preserve"> prestazionale</w:t>
      </w:r>
      <w:r>
        <w:rPr>
          <w:rFonts w:ascii="Calibri" w:hAnsi="Calibri"/>
          <w:bCs/>
        </w:rPr>
        <w:t xml:space="preserve"> globalmente intesa, inclusiva de</w:t>
      </w:r>
      <w:r w:rsidR="005C204C" w:rsidRPr="00ED1D6F" w:rsidDel="008B5421">
        <w:rPr>
          <w:rFonts w:ascii="Calibri" w:hAnsi="Calibri"/>
          <w:bCs/>
        </w:rPr>
        <w:t xml:space="preserve">i costi e </w:t>
      </w:r>
      <w:r>
        <w:rPr>
          <w:rFonts w:ascii="Calibri" w:hAnsi="Calibri"/>
          <w:bCs/>
        </w:rPr>
        <w:t>de</w:t>
      </w:r>
      <w:r w:rsidR="005C204C" w:rsidRPr="00ED1D6F" w:rsidDel="008B5421">
        <w:rPr>
          <w:rFonts w:ascii="Calibri" w:hAnsi="Calibri"/>
          <w:bCs/>
        </w:rPr>
        <w:t>i tempi di realizzazione</w:t>
      </w:r>
      <w:r w:rsidR="007B10E0">
        <w:rPr>
          <w:rFonts w:ascii="Calibri" w:hAnsi="Calibri"/>
          <w:bCs/>
        </w:rPr>
        <w:t>.</w:t>
      </w:r>
      <w:r w:rsidRPr="00E8558A">
        <w:t xml:space="preserve"> </w:t>
      </w:r>
      <w:r w:rsidR="002A00A5" w:rsidRPr="002A00A5">
        <w:rPr>
          <w:rFonts w:ascii="Calibri" w:hAnsi="Calibri"/>
          <w:bCs/>
        </w:rPr>
        <w:t xml:space="preserve">Al riguardo, </w:t>
      </w:r>
      <w:r>
        <w:rPr>
          <w:rFonts w:ascii="Calibri" w:hAnsi="Calibri"/>
          <w:bCs/>
        </w:rPr>
        <w:t>l</w:t>
      </w:r>
      <w:r w:rsidRPr="00E8558A">
        <w:rPr>
          <w:rFonts w:ascii="Calibri" w:hAnsi="Calibri"/>
          <w:bCs/>
        </w:rPr>
        <w:t xml:space="preserve">’esperienza, spesso confermata dai dati dell’Osservatorio, </w:t>
      </w:r>
      <w:r w:rsidRPr="00E8558A">
        <w:rPr>
          <w:rFonts w:ascii="Calibri" w:hAnsi="Calibri"/>
          <w:bCs/>
        </w:rPr>
        <w:lastRenderedPageBreak/>
        <w:t xml:space="preserve">dimostra </w:t>
      </w:r>
      <w:r>
        <w:rPr>
          <w:rFonts w:ascii="Calibri" w:hAnsi="Calibri"/>
          <w:bCs/>
        </w:rPr>
        <w:t>che,</w:t>
      </w:r>
      <w:r w:rsidRPr="00E8558A">
        <w:rPr>
          <w:rFonts w:ascii="Calibri" w:hAnsi="Calibri"/>
          <w:bCs/>
        </w:rPr>
        <w:t xml:space="preserve"> in molti casi</w:t>
      </w:r>
      <w:r>
        <w:rPr>
          <w:rFonts w:ascii="Calibri" w:hAnsi="Calibri"/>
          <w:bCs/>
        </w:rPr>
        <w:t>,</w:t>
      </w:r>
      <w:r w:rsidRPr="00E8558A">
        <w:rPr>
          <w:rFonts w:ascii="Calibri" w:hAnsi="Calibri"/>
          <w:bCs/>
        </w:rPr>
        <w:t xml:space="preserve"> l’esecuzione </w:t>
      </w:r>
      <w:r w:rsidR="00D86485">
        <w:rPr>
          <w:rFonts w:ascii="Calibri" w:hAnsi="Calibri"/>
          <w:bCs/>
        </w:rPr>
        <w:t>delle commesse pubbliche</w:t>
      </w:r>
      <w:r w:rsidRPr="00E8558A">
        <w:rPr>
          <w:rFonts w:ascii="Calibri" w:hAnsi="Calibri"/>
          <w:bCs/>
        </w:rPr>
        <w:t xml:space="preserve"> avviene </w:t>
      </w:r>
      <w:r w:rsidR="00997F8B">
        <w:rPr>
          <w:rFonts w:ascii="Calibri" w:hAnsi="Calibri"/>
          <w:bCs/>
        </w:rPr>
        <w:t xml:space="preserve">con tempi e costi di gran lunga superiori </w:t>
      </w:r>
      <w:r w:rsidRPr="00E8558A">
        <w:rPr>
          <w:rFonts w:ascii="Calibri" w:hAnsi="Calibri"/>
          <w:bCs/>
        </w:rPr>
        <w:t xml:space="preserve">a quelli </w:t>
      </w:r>
      <w:r>
        <w:rPr>
          <w:rFonts w:ascii="Calibri" w:hAnsi="Calibri"/>
          <w:bCs/>
        </w:rPr>
        <w:t>inizialmente stimati</w:t>
      </w:r>
      <w:r w:rsidRPr="00E8558A">
        <w:rPr>
          <w:rFonts w:ascii="Calibri" w:hAnsi="Calibri"/>
          <w:bCs/>
        </w:rPr>
        <w:t>.</w:t>
      </w:r>
      <w:r w:rsidR="00997F8B">
        <w:rPr>
          <w:rFonts w:ascii="Calibri" w:hAnsi="Calibri"/>
          <w:bCs/>
        </w:rPr>
        <w:t xml:space="preserve"> A prescindere da possibili concause (quali </w:t>
      </w:r>
      <w:r w:rsidRPr="00E8558A">
        <w:rPr>
          <w:rFonts w:ascii="Calibri" w:hAnsi="Calibri"/>
          <w:bCs/>
        </w:rPr>
        <w:t xml:space="preserve">difetti di progettazione, </w:t>
      </w:r>
      <w:r w:rsidR="00997F8B" w:rsidRPr="00E8558A">
        <w:rPr>
          <w:rFonts w:ascii="Calibri" w:hAnsi="Calibri"/>
          <w:bCs/>
        </w:rPr>
        <w:t>caus</w:t>
      </w:r>
      <w:r w:rsidR="00997F8B">
        <w:rPr>
          <w:rFonts w:ascii="Calibri" w:hAnsi="Calibri"/>
          <w:bCs/>
        </w:rPr>
        <w:t>e</w:t>
      </w:r>
      <w:r w:rsidR="00997F8B" w:rsidRPr="00E8558A">
        <w:rPr>
          <w:rFonts w:ascii="Calibri" w:hAnsi="Calibri"/>
          <w:bCs/>
        </w:rPr>
        <w:t xml:space="preserve"> </w:t>
      </w:r>
      <w:r w:rsidRPr="00E8558A">
        <w:rPr>
          <w:rFonts w:ascii="Calibri" w:hAnsi="Calibri"/>
          <w:bCs/>
        </w:rPr>
        <w:t xml:space="preserve">di forza maggiore o </w:t>
      </w:r>
      <w:r w:rsidR="00D86485">
        <w:rPr>
          <w:rFonts w:ascii="Calibri" w:hAnsi="Calibri"/>
          <w:bCs/>
        </w:rPr>
        <w:t>altri</w:t>
      </w:r>
      <w:r w:rsidR="00D86485" w:rsidRPr="00E8558A">
        <w:rPr>
          <w:rFonts w:ascii="Calibri" w:hAnsi="Calibri"/>
          <w:bCs/>
        </w:rPr>
        <w:t xml:space="preserve"> </w:t>
      </w:r>
      <w:r w:rsidRPr="00E8558A">
        <w:rPr>
          <w:rFonts w:ascii="Calibri" w:hAnsi="Calibri"/>
          <w:bCs/>
        </w:rPr>
        <w:t>eventi non</w:t>
      </w:r>
      <w:r w:rsidR="00997F8B">
        <w:rPr>
          <w:rFonts w:ascii="Calibri" w:hAnsi="Calibri"/>
          <w:bCs/>
        </w:rPr>
        <w:t xml:space="preserve"> ascrivibili a</w:t>
      </w:r>
      <w:r w:rsidRPr="00E8558A">
        <w:rPr>
          <w:rFonts w:ascii="Calibri" w:hAnsi="Calibri"/>
          <w:bCs/>
        </w:rPr>
        <w:t>ll’impresa aggiudicataria</w:t>
      </w:r>
      <w:r w:rsidR="00997F8B">
        <w:rPr>
          <w:rFonts w:ascii="Calibri" w:hAnsi="Calibri"/>
          <w:bCs/>
        </w:rPr>
        <w:t>) si ritiene che una appropriata valutazione dei criteri reputazionali</w:t>
      </w:r>
      <w:r w:rsidR="003973B6">
        <w:rPr>
          <w:rFonts w:ascii="Calibri" w:hAnsi="Calibri"/>
          <w:bCs/>
        </w:rPr>
        <w:t xml:space="preserve"> </w:t>
      </w:r>
      <w:r w:rsidR="00997F8B">
        <w:rPr>
          <w:rFonts w:ascii="Calibri" w:hAnsi="Calibri"/>
          <w:bCs/>
        </w:rPr>
        <w:t>potrebbe contribuire in modo sostanziale a massimizzare l’efficienza globale della prestazione</w:t>
      </w:r>
      <w:r w:rsidR="007F3F65">
        <w:rPr>
          <w:rFonts w:ascii="Calibri" w:hAnsi="Calibri"/>
          <w:bCs/>
        </w:rPr>
        <w:t xml:space="preserve"> ed innescare</w:t>
      </w:r>
      <w:r w:rsidR="00D86485">
        <w:rPr>
          <w:rFonts w:ascii="Calibri" w:hAnsi="Calibri"/>
          <w:bCs/>
        </w:rPr>
        <w:t>, in tal modo,</w:t>
      </w:r>
      <w:r w:rsidR="007F3F65">
        <w:rPr>
          <w:rFonts w:ascii="Calibri" w:hAnsi="Calibri"/>
          <w:bCs/>
        </w:rPr>
        <w:t xml:space="preserve"> un </w:t>
      </w:r>
      <w:r w:rsidR="00D86485">
        <w:rPr>
          <w:rFonts w:ascii="Calibri" w:hAnsi="Calibri"/>
          <w:bCs/>
        </w:rPr>
        <w:t xml:space="preserve">meccanismo </w:t>
      </w:r>
      <w:r w:rsidR="007F3F65">
        <w:rPr>
          <w:rFonts w:ascii="Calibri" w:hAnsi="Calibri"/>
          <w:bCs/>
        </w:rPr>
        <w:t>virtuoso di incentiv</w:t>
      </w:r>
      <w:r w:rsidR="00D86485">
        <w:rPr>
          <w:rFonts w:ascii="Calibri" w:hAnsi="Calibri"/>
          <w:bCs/>
        </w:rPr>
        <w:t xml:space="preserve">azione </w:t>
      </w:r>
      <w:r w:rsidR="007F3F65">
        <w:rPr>
          <w:rFonts w:ascii="Calibri" w:hAnsi="Calibri"/>
          <w:bCs/>
        </w:rPr>
        <w:t>all</w:t>
      </w:r>
      <w:r w:rsidR="009677E0">
        <w:rPr>
          <w:rFonts w:ascii="Calibri" w:hAnsi="Calibri"/>
          <w:bCs/>
        </w:rPr>
        <w:t>’innalzamento qualititivo</w:t>
      </w:r>
      <w:r w:rsidRPr="00E8558A">
        <w:rPr>
          <w:rFonts w:ascii="Calibri" w:hAnsi="Calibri"/>
          <w:bCs/>
        </w:rPr>
        <w:t>.</w:t>
      </w:r>
      <w:r w:rsidR="003973B6">
        <w:rPr>
          <w:rFonts w:ascii="Calibri" w:hAnsi="Calibri"/>
          <w:bCs/>
        </w:rPr>
        <w:t xml:space="preserve"> </w:t>
      </w:r>
      <w:r w:rsidR="005C204C">
        <w:rPr>
          <w:rFonts w:ascii="Calibri" w:hAnsi="Calibri"/>
        </w:rPr>
        <w:t>Il sistema di qualificazione delle imprese</w:t>
      </w:r>
      <w:r w:rsidR="000126C8">
        <w:rPr>
          <w:rFonts w:ascii="Calibri" w:hAnsi="Calibri"/>
        </w:rPr>
        <w:t xml:space="preserve"> adottato in Italia per gli appalti di lavori, basato sui lavori privati e sui lavori pubblici il cui buon esito è atte</w:t>
      </w:r>
      <w:r w:rsidR="007B10E0">
        <w:rPr>
          <w:rFonts w:ascii="Calibri" w:hAnsi="Calibri"/>
        </w:rPr>
        <w:t>stato nei CEL rilasciati dalle stazioni appaltanti</w:t>
      </w:r>
      <w:r w:rsidR="000126C8">
        <w:rPr>
          <w:rFonts w:ascii="Calibri" w:hAnsi="Calibri"/>
        </w:rPr>
        <w:t xml:space="preserve">, </w:t>
      </w:r>
      <w:r w:rsidR="005C204C">
        <w:rPr>
          <w:rFonts w:ascii="Calibri" w:hAnsi="Calibri"/>
        </w:rPr>
        <w:t xml:space="preserve">costituisce un </w:t>
      </w:r>
      <w:r w:rsidR="007B10E0">
        <w:rPr>
          <w:rFonts w:ascii="Calibri" w:hAnsi="Calibri"/>
        </w:rPr>
        <w:t>requisito necessario per la qualificazione ma</w:t>
      </w:r>
      <w:r w:rsidR="007F3F65">
        <w:rPr>
          <w:rFonts w:ascii="Calibri" w:hAnsi="Calibri"/>
        </w:rPr>
        <w:t xml:space="preserve"> la </w:t>
      </w:r>
      <w:r w:rsidR="000126C8">
        <w:rPr>
          <w:rFonts w:ascii="Calibri" w:hAnsi="Calibri"/>
        </w:rPr>
        <w:t>genericità d</w:t>
      </w:r>
      <w:r w:rsidR="00940BAE">
        <w:rPr>
          <w:rFonts w:ascii="Calibri" w:hAnsi="Calibri"/>
        </w:rPr>
        <w:t>el buon esito riportato nei CEL, come si è avuto modo di riscontrare nel corso dell’attività di vigilanza espletata dall’Autorità, non è di per sé sufficiente a comprovare un alto livello qualitativo d</w:t>
      </w:r>
      <w:r w:rsidR="007F3F65">
        <w:rPr>
          <w:rFonts w:ascii="Calibri" w:hAnsi="Calibri"/>
        </w:rPr>
        <w:t>elle prestazioni effettuate.</w:t>
      </w:r>
      <w:r w:rsidR="00940BAE">
        <w:rPr>
          <w:rFonts w:ascii="Calibri" w:hAnsi="Calibri"/>
        </w:rPr>
        <w:t xml:space="preserve"> </w:t>
      </w:r>
    </w:p>
    <w:p w:rsidR="00A546DE" w:rsidRDefault="005C204C" w:rsidP="007B10E0">
      <w:pPr>
        <w:pStyle w:val="Corpodeltesto"/>
        <w:spacing w:line="360" w:lineRule="auto"/>
        <w:ind w:left="360" w:right="567"/>
        <w:jc w:val="both"/>
        <w:rPr>
          <w:rFonts w:ascii="Calibri" w:hAnsi="Calibri"/>
          <w:i/>
        </w:rPr>
      </w:pPr>
      <w:r w:rsidRPr="0005304D">
        <w:rPr>
          <w:rFonts w:ascii="Calibri" w:hAnsi="Calibri"/>
        </w:rPr>
        <w:t>La tutela della qualità</w:t>
      </w:r>
      <w:r w:rsidR="009677E0">
        <w:rPr>
          <w:rFonts w:ascii="Calibri" w:hAnsi="Calibri"/>
        </w:rPr>
        <w:t xml:space="preserve"> </w:t>
      </w:r>
      <w:r w:rsidR="007B10E0">
        <w:rPr>
          <w:rFonts w:ascii="Calibri" w:hAnsi="Calibri"/>
        </w:rPr>
        <w:t xml:space="preserve">della signola prestazione </w:t>
      </w:r>
      <w:r w:rsidR="009677E0">
        <w:rPr>
          <w:rFonts w:ascii="Calibri" w:hAnsi="Calibri"/>
        </w:rPr>
        <w:t>resta</w:t>
      </w:r>
      <w:r w:rsidR="0092392B">
        <w:rPr>
          <w:rFonts w:ascii="Calibri" w:hAnsi="Calibri"/>
        </w:rPr>
        <w:t>,</w:t>
      </w:r>
      <w:r w:rsidRPr="0005304D">
        <w:rPr>
          <w:rFonts w:ascii="Calibri" w:hAnsi="Calibri"/>
        </w:rPr>
        <w:t xml:space="preserve"> </w:t>
      </w:r>
      <w:r w:rsidR="0092392B">
        <w:rPr>
          <w:rFonts w:ascii="Calibri" w:hAnsi="Calibri"/>
        </w:rPr>
        <w:t xml:space="preserve">pertanto, </w:t>
      </w:r>
      <w:r w:rsidR="009677E0">
        <w:rPr>
          <w:rFonts w:ascii="Calibri" w:hAnsi="Calibri"/>
        </w:rPr>
        <w:t xml:space="preserve">in larga parte </w:t>
      </w:r>
      <w:r w:rsidRPr="0005304D">
        <w:rPr>
          <w:rFonts w:ascii="Calibri" w:hAnsi="Calibri"/>
        </w:rPr>
        <w:t xml:space="preserve">affidata </w:t>
      </w:r>
      <w:r w:rsidR="009677E0">
        <w:rPr>
          <w:rFonts w:ascii="Calibri" w:hAnsi="Calibri"/>
        </w:rPr>
        <w:t>a</w:t>
      </w:r>
      <w:r w:rsidR="009677E0" w:rsidRPr="0005304D">
        <w:rPr>
          <w:rFonts w:ascii="Calibri" w:hAnsi="Calibri"/>
        </w:rPr>
        <w:t xml:space="preserve"> </w:t>
      </w:r>
      <w:r w:rsidRPr="0005304D">
        <w:rPr>
          <w:rFonts w:ascii="Calibri" w:hAnsi="Calibri"/>
        </w:rPr>
        <w:t>garanzie di tipo assicurativo e</w:t>
      </w:r>
      <w:r w:rsidR="009677E0">
        <w:rPr>
          <w:rFonts w:ascii="Calibri" w:hAnsi="Calibri"/>
        </w:rPr>
        <w:t>d</w:t>
      </w:r>
      <w:r w:rsidRPr="0005304D">
        <w:rPr>
          <w:rFonts w:ascii="Calibri" w:hAnsi="Calibri"/>
        </w:rPr>
        <w:t xml:space="preserve"> al buon funzionamento del sistema di qualificazione. </w:t>
      </w:r>
    </w:p>
    <w:p w:rsidR="00A546DE" w:rsidRDefault="002A00A5">
      <w:pPr>
        <w:pStyle w:val="Corpodeltesto"/>
        <w:spacing w:line="360" w:lineRule="auto"/>
        <w:ind w:left="360" w:right="567"/>
        <w:jc w:val="both"/>
        <w:rPr>
          <w:rFonts w:ascii="Calibri" w:hAnsi="Calibri"/>
          <w:i/>
        </w:rPr>
      </w:pPr>
      <w:r w:rsidRPr="00B72E74">
        <w:rPr>
          <w:rFonts w:ascii="Calibri" w:hAnsi="Calibri"/>
        </w:rPr>
        <w:t xml:space="preserve">Per quanto riguarda il primo aspetto (garanzie assicurative), l’efficacia di questo strumento dipende dalle formule contrattuali che emergono nel mercato assicurativo: per esempio, in assenza di un sistema del tipo </w:t>
      </w:r>
      <w:r w:rsidRPr="00B72E74">
        <w:rPr>
          <w:rFonts w:ascii="Calibri" w:hAnsi="Calibri"/>
          <w:i/>
          <w:iCs/>
        </w:rPr>
        <w:t>bonus-malus</w:t>
      </w:r>
      <w:r w:rsidRPr="00B72E74">
        <w:rPr>
          <w:rFonts w:ascii="Calibri" w:hAnsi="Calibri"/>
        </w:rPr>
        <w:t>, si può ipotizzare che la copertura assicurativa, pur efficace sotto il profilo di garantire il ristoro del danno economico subito dalla stazione appaltante in caso di inadempimento o inesatto adempimento della prestazione,</w:t>
      </w:r>
      <w:r w:rsidR="00B72E74" w:rsidRPr="00B72E74">
        <w:rPr>
          <w:rFonts w:ascii="Calibri" w:hAnsi="Calibri"/>
        </w:rPr>
        <w:t xml:space="preserve"> </w:t>
      </w:r>
      <w:r w:rsidRPr="00B72E74">
        <w:rPr>
          <w:rFonts w:ascii="Calibri" w:hAnsi="Calibri"/>
        </w:rPr>
        <w:t>può non essere sufficiente a compensare il detrimento arrecato agli interessi della collettività, quale “utente” finale dell’opera pubblica. Il soddisfacimento di tale interesse, infatti, richiede la realizzazione di opere pubbliche di buona qualità, obiettivo che risulterebbe comunque compromesso se l’impresa esecutrice non fosse in grado di eseguire i lavori adeguatamente.</w:t>
      </w:r>
      <w:r w:rsidR="005C204C" w:rsidRPr="0005304D">
        <w:rPr>
          <w:rFonts w:ascii="Calibri" w:hAnsi="Calibri"/>
        </w:rPr>
        <w:t xml:space="preserve"> </w:t>
      </w:r>
    </w:p>
    <w:p w:rsidR="00A546DE" w:rsidRDefault="009677E0">
      <w:pPr>
        <w:pStyle w:val="Corpodeltesto"/>
        <w:spacing w:line="360" w:lineRule="auto"/>
        <w:ind w:left="360" w:right="567"/>
        <w:jc w:val="both"/>
        <w:rPr>
          <w:rFonts w:ascii="Calibri" w:hAnsi="Calibri"/>
        </w:rPr>
      </w:pPr>
      <w:r>
        <w:rPr>
          <w:rFonts w:ascii="Calibri" w:hAnsi="Calibri"/>
        </w:rPr>
        <w:t>Con riguardo al secondo profilo (</w:t>
      </w:r>
      <w:r w:rsidRPr="0005304D">
        <w:rPr>
          <w:rFonts w:ascii="Calibri" w:hAnsi="Calibri"/>
        </w:rPr>
        <w:t>funzionamento del sistema di qualificazione</w:t>
      </w:r>
      <w:r>
        <w:rPr>
          <w:rFonts w:ascii="Calibri" w:hAnsi="Calibri"/>
        </w:rPr>
        <w:t xml:space="preserve">), l’attuale </w:t>
      </w:r>
      <w:r w:rsidR="0092392B">
        <w:rPr>
          <w:rFonts w:ascii="Calibri" w:hAnsi="Calibri"/>
        </w:rPr>
        <w:t xml:space="preserve">struttura del </w:t>
      </w:r>
      <w:r w:rsidR="005C204C" w:rsidRPr="0005304D">
        <w:rPr>
          <w:rFonts w:ascii="Calibri" w:hAnsi="Calibri"/>
        </w:rPr>
        <w:t>sistema di qualificazione</w:t>
      </w:r>
      <w:r>
        <w:rPr>
          <w:rFonts w:ascii="Calibri" w:hAnsi="Calibri"/>
        </w:rPr>
        <w:t>, come accennato,</w:t>
      </w:r>
      <w:r w:rsidR="005C204C">
        <w:rPr>
          <w:rFonts w:ascii="Calibri" w:hAnsi="Calibri"/>
        </w:rPr>
        <w:t xml:space="preserve"> </w:t>
      </w:r>
      <w:r>
        <w:rPr>
          <w:rFonts w:ascii="Calibri" w:hAnsi="Calibri"/>
        </w:rPr>
        <w:t>prevede</w:t>
      </w:r>
      <w:r w:rsidR="00690C8D">
        <w:rPr>
          <w:rFonts w:ascii="Calibri" w:hAnsi="Calibri"/>
        </w:rPr>
        <w:t>,</w:t>
      </w:r>
      <w:r>
        <w:rPr>
          <w:rFonts w:ascii="Calibri" w:hAnsi="Calibri"/>
        </w:rPr>
        <w:t xml:space="preserve"> </w:t>
      </w:r>
      <w:r w:rsidR="005C204C">
        <w:rPr>
          <w:rFonts w:ascii="Calibri" w:hAnsi="Calibri"/>
        </w:rPr>
        <w:t>al verificarsi di precise circostanze,</w:t>
      </w:r>
      <w:r>
        <w:rPr>
          <w:rFonts w:ascii="Calibri" w:hAnsi="Calibri"/>
        </w:rPr>
        <w:t xml:space="preserve"> la possibilità di esclusione </w:t>
      </w:r>
      <w:r w:rsidR="005C204C">
        <w:rPr>
          <w:rFonts w:ascii="Calibri" w:hAnsi="Calibri"/>
        </w:rPr>
        <w:t>dalle gare</w:t>
      </w:r>
      <w:r>
        <w:rPr>
          <w:rFonts w:ascii="Calibri" w:hAnsi="Calibri"/>
        </w:rPr>
        <w:t>,</w:t>
      </w:r>
      <w:r w:rsidR="005C204C">
        <w:rPr>
          <w:rFonts w:ascii="Calibri" w:hAnsi="Calibri"/>
        </w:rPr>
        <w:t xml:space="preserve"> ma non premia le imprese che</w:t>
      </w:r>
      <w:r>
        <w:rPr>
          <w:rFonts w:ascii="Calibri" w:hAnsi="Calibri"/>
        </w:rPr>
        <w:t>,</w:t>
      </w:r>
      <w:r w:rsidR="005C204C">
        <w:rPr>
          <w:rFonts w:ascii="Calibri" w:hAnsi="Calibri"/>
        </w:rPr>
        <w:t xml:space="preserve"> sulla </w:t>
      </w:r>
      <w:r w:rsidR="005C204C">
        <w:rPr>
          <w:rFonts w:ascii="Calibri" w:hAnsi="Calibri"/>
        </w:rPr>
        <w:lastRenderedPageBreak/>
        <w:t>base della loro attività</w:t>
      </w:r>
      <w:r w:rsidR="001E2ACD">
        <w:rPr>
          <w:rFonts w:ascii="Calibri" w:hAnsi="Calibri"/>
        </w:rPr>
        <w:t>,</w:t>
      </w:r>
      <w:r w:rsidR="005C204C">
        <w:rPr>
          <w:rFonts w:ascii="Calibri" w:hAnsi="Calibri"/>
        </w:rPr>
        <w:t xml:space="preserve"> sono riuscite a costruirsi un</w:t>
      </w:r>
      <w:r w:rsidR="00690C8D">
        <w:rPr>
          <w:rFonts w:ascii="Calibri" w:hAnsi="Calibri"/>
        </w:rPr>
        <w:t>’</w:t>
      </w:r>
      <w:r w:rsidR="005C204C">
        <w:rPr>
          <w:rFonts w:ascii="Calibri" w:hAnsi="Calibri"/>
        </w:rPr>
        <w:t xml:space="preserve">identità di contraenti affidabili. </w:t>
      </w:r>
    </w:p>
    <w:p w:rsidR="00A834AF" w:rsidRPr="003B4915" w:rsidRDefault="00A834AF" w:rsidP="00A834AF">
      <w:pPr>
        <w:pStyle w:val="Corpodeltesto"/>
        <w:spacing w:line="360" w:lineRule="auto"/>
        <w:ind w:left="360" w:right="567"/>
        <w:jc w:val="both"/>
        <w:rPr>
          <w:rFonts w:ascii="Calibri" w:hAnsi="Calibri" w:cs="Arial"/>
          <w:color w:val="auto"/>
          <w:szCs w:val="24"/>
        </w:rPr>
      </w:pPr>
      <w:r>
        <w:rPr>
          <w:rFonts w:ascii="Calibri" w:hAnsi="Calibri"/>
          <w:iCs/>
        </w:rPr>
        <w:t xml:space="preserve">A fronte di </w:t>
      </w:r>
      <w:r w:rsidR="006F2AAD">
        <w:rPr>
          <w:rFonts w:ascii="Calibri" w:hAnsi="Calibri"/>
          <w:iCs/>
        </w:rPr>
        <w:t>questo</w:t>
      </w:r>
      <w:r>
        <w:rPr>
          <w:rFonts w:ascii="Calibri" w:hAnsi="Calibri"/>
          <w:iCs/>
        </w:rPr>
        <w:t xml:space="preserve"> assetto normativo, </w:t>
      </w:r>
      <w:r w:rsidR="006F2AAD">
        <w:rPr>
          <w:rFonts w:ascii="Calibri" w:hAnsi="Calibri"/>
          <w:iCs/>
        </w:rPr>
        <w:t>i</w:t>
      </w:r>
      <w:r w:rsidR="00B72E74">
        <w:rPr>
          <w:rFonts w:ascii="Calibri" w:hAnsi="Calibri"/>
          <w:iCs/>
        </w:rPr>
        <w:t>l</w:t>
      </w:r>
      <w:r w:rsidR="006F2AAD">
        <w:rPr>
          <w:rFonts w:ascii="Calibri" w:hAnsi="Calibri"/>
          <w:iCs/>
        </w:rPr>
        <w:t xml:space="preserve"> mondo imprenditoriale </w:t>
      </w:r>
      <w:r>
        <w:rPr>
          <w:rFonts w:ascii="Calibri" w:hAnsi="Calibri"/>
          <w:iCs/>
        </w:rPr>
        <w:t xml:space="preserve">ha </w:t>
      </w:r>
      <w:r w:rsidR="006F2AAD">
        <w:rPr>
          <w:rFonts w:ascii="Calibri" w:hAnsi="Calibri"/>
          <w:iCs/>
        </w:rPr>
        <w:t xml:space="preserve">espresso </w:t>
      </w:r>
      <w:r>
        <w:rPr>
          <w:rFonts w:ascii="Calibri" w:hAnsi="Calibri"/>
          <w:iCs/>
        </w:rPr>
        <w:t xml:space="preserve">l’esigenza </w:t>
      </w:r>
      <w:r w:rsidRPr="00EC4E67">
        <w:rPr>
          <w:rFonts w:ascii="Calibri" w:hAnsi="Calibri"/>
          <w:iCs/>
        </w:rPr>
        <w:t>di approfondire i requisiti di idoneità tecnica ed economico-finanziaria</w:t>
      </w:r>
      <w:r w:rsidRPr="003B4915">
        <w:rPr>
          <w:rFonts w:ascii="Calibri" w:hAnsi="Calibri" w:cs="Arial"/>
          <w:color w:val="auto"/>
          <w:szCs w:val="24"/>
        </w:rPr>
        <w:t xml:space="preserve"> dell’impresa, non soltanto ai fini dell’espletamento della gara</w:t>
      </w:r>
      <w:r>
        <w:rPr>
          <w:rFonts w:ascii="Calibri" w:hAnsi="Calibri" w:cs="Arial"/>
          <w:color w:val="auto"/>
          <w:szCs w:val="24"/>
        </w:rPr>
        <w:t>,</w:t>
      </w:r>
      <w:r w:rsidRPr="003B4915">
        <w:rPr>
          <w:rFonts w:ascii="Calibri" w:hAnsi="Calibri" w:cs="Arial"/>
          <w:color w:val="auto"/>
          <w:szCs w:val="24"/>
        </w:rPr>
        <w:t xml:space="preserve"> ma anche per l</w:t>
      </w:r>
      <w:r>
        <w:rPr>
          <w:rFonts w:ascii="Calibri" w:hAnsi="Calibri" w:cs="Arial"/>
          <w:color w:val="auto"/>
          <w:szCs w:val="24"/>
        </w:rPr>
        <w:t>’esecuzione della prestazione dedotta in contratto</w:t>
      </w:r>
      <w:r w:rsidR="00D7141D">
        <w:rPr>
          <w:rFonts w:ascii="Calibri" w:hAnsi="Calibri" w:cs="Arial"/>
          <w:color w:val="auto"/>
          <w:szCs w:val="24"/>
        </w:rPr>
        <w:t xml:space="preserve">, </w:t>
      </w:r>
      <w:r w:rsidR="00061D38" w:rsidRPr="00061D38">
        <w:rPr>
          <w:rFonts w:ascii="Calibri" w:hAnsi="Calibri" w:cs="Arial"/>
          <w:color w:val="auto"/>
          <w:szCs w:val="24"/>
        </w:rPr>
        <w:t>attraverso l’introduzione di criteri reputazionali che possano costituire veri e propri strumenti di verifica delle capacità tecnico-organizzative delle imprese a supporto delle stazioni appaltanti, nel rispetto dei principi di parità di trattamento, trasparenza e concorrenza nell’aggiudicazione degli appalti</w:t>
      </w:r>
      <w:r w:rsidR="00061D38">
        <w:rPr>
          <w:rFonts w:ascii="Calibri" w:hAnsi="Calibri" w:cs="Arial"/>
          <w:color w:val="auto"/>
          <w:szCs w:val="24"/>
        </w:rPr>
        <w:t>.</w:t>
      </w:r>
      <w:r w:rsidR="00D41402" w:rsidRPr="00D41402">
        <w:rPr>
          <w:rFonts w:ascii="Calibri" w:hAnsi="Calibri" w:cs="Arial"/>
          <w:color w:val="auto"/>
          <w:szCs w:val="24"/>
        </w:rPr>
        <w:t xml:space="preserve"> </w:t>
      </w:r>
      <w:r w:rsidR="00D41402">
        <w:rPr>
          <w:rFonts w:ascii="Calibri" w:hAnsi="Calibri" w:cs="Arial"/>
          <w:color w:val="auto"/>
          <w:szCs w:val="24"/>
        </w:rPr>
        <w:t xml:space="preserve">L’adozione di tali meccanismi consentirebbe di valutare anche le referenze delle imprese, ottenendo così una maggiore qualificazione dell’offerta del mercato degli appalti pubblici ed un rafforzamento della competitività, il tutto a beneficio della qualità e delle </w:t>
      </w:r>
      <w:r w:rsidR="00D41402" w:rsidRPr="00A30702">
        <w:rPr>
          <w:rFonts w:ascii="Calibri" w:hAnsi="Calibri" w:cs="Arial"/>
          <w:i/>
          <w:color w:val="auto"/>
          <w:szCs w:val="24"/>
        </w:rPr>
        <w:t>performance</w:t>
      </w:r>
      <w:r w:rsidR="00D41402">
        <w:rPr>
          <w:rFonts w:ascii="Calibri" w:hAnsi="Calibri" w:cs="Arial"/>
          <w:color w:val="auto"/>
          <w:szCs w:val="24"/>
        </w:rPr>
        <w:t xml:space="preserve"> del settore, nonché della crescita degli operatori.</w:t>
      </w:r>
    </w:p>
    <w:p w:rsidR="00A834AF" w:rsidRPr="003B4915" w:rsidRDefault="00A834AF" w:rsidP="00A834AF">
      <w:pPr>
        <w:pStyle w:val="Corpodeltesto"/>
        <w:spacing w:line="360" w:lineRule="auto"/>
        <w:ind w:left="360" w:right="567"/>
        <w:jc w:val="both"/>
        <w:rPr>
          <w:rFonts w:ascii="Calibri" w:hAnsi="Calibri" w:cs="Arial"/>
          <w:color w:val="auto"/>
          <w:szCs w:val="24"/>
        </w:rPr>
      </w:pPr>
      <w:r w:rsidRPr="003B4915">
        <w:rPr>
          <w:rFonts w:ascii="Calibri" w:hAnsi="Calibri" w:cs="Arial"/>
          <w:color w:val="auto"/>
          <w:szCs w:val="24"/>
        </w:rPr>
        <w:t xml:space="preserve">Già nell’Allegato Infrastrutture al </w:t>
      </w:r>
      <w:r w:rsidR="007B10E0">
        <w:rPr>
          <w:rFonts w:ascii="Calibri" w:hAnsi="Calibri" w:cs="Arial"/>
          <w:color w:val="auto"/>
          <w:szCs w:val="24"/>
        </w:rPr>
        <w:t>Documento di Programmazione Economica e Finanziaria (</w:t>
      </w:r>
      <w:r w:rsidRPr="003B4915">
        <w:rPr>
          <w:rFonts w:ascii="Calibri" w:hAnsi="Calibri" w:cs="Arial"/>
          <w:color w:val="auto"/>
          <w:szCs w:val="24"/>
        </w:rPr>
        <w:t>DPEF</w:t>
      </w:r>
      <w:r w:rsidR="007B10E0">
        <w:rPr>
          <w:rFonts w:ascii="Calibri" w:hAnsi="Calibri" w:cs="Arial"/>
          <w:color w:val="auto"/>
          <w:szCs w:val="24"/>
        </w:rPr>
        <w:t>)</w:t>
      </w:r>
      <w:r w:rsidRPr="003B4915">
        <w:rPr>
          <w:rFonts w:ascii="Calibri" w:hAnsi="Calibri" w:cs="Arial"/>
          <w:color w:val="auto"/>
          <w:szCs w:val="24"/>
        </w:rPr>
        <w:t xml:space="preserve"> dello scorso anno, nell’evidenziare </w:t>
      </w:r>
      <w:r w:rsidR="00504EB7">
        <w:rPr>
          <w:rFonts w:ascii="Calibri" w:hAnsi="Calibri" w:cs="Arial"/>
          <w:color w:val="auto"/>
          <w:szCs w:val="24"/>
        </w:rPr>
        <w:t>la necessità</w:t>
      </w:r>
      <w:r w:rsidRPr="003B4915">
        <w:rPr>
          <w:rFonts w:ascii="Calibri" w:hAnsi="Calibri" w:cs="Arial"/>
          <w:color w:val="auto"/>
          <w:szCs w:val="24"/>
        </w:rPr>
        <w:t xml:space="preserve"> di garantire la sicurezza nei cantieri, si ribadiva </w:t>
      </w:r>
      <w:r w:rsidR="00504EB7">
        <w:rPr>
          <w:rFonts w:ascii="Calibri" w:hAnsi="Calibri" w:cs="Arial"/>
          <w:color w:val="auto"/>
          <w:szCs w:val="24"/>
        </w:rPr>
        <w:t xml:space="preserve">l’opportunità </w:t>
      </w:r>
      <w:r w:rsidRPr="003B4915">
        <w:rPr>
          <w:rFonts w:ascii="Calibri" w:hAnsi="Calibri" w:cs="Arial"/>
          <w:color w:val="auto"/>
          <w:szCs w:val="24"/>
        </w:rPr>
        <w:t xml:space="preserve">di intervenire in modo organico nell’assetto organizzativo delle imprese di costruzione che, in Italia, denunciano una </w:t>
      </w:r>
      <w:r w:rsidRPr="003B4915">
        <w:rPr>
          <w:rFonts w:ascii="Calibri" w:hAnsi="Calibri" w:cs="Arial"/>
          <w:i/>
          <w:color w:val="auto"/>
          <w:szCs w:val="24"/>
        </w:rPr>
        <w:t xml:space="preserve">performance </w:t>
      </w:r>
      <w:r w:rsidRPr="003B4915">
        <w:rPr>
          <w:rFonts w:ascii="Calibri" w:hAnsi="Calibri" w:cs="Arial"/>
          <w:color w:val="auto"/>
          <w:szCs w:val="24"/>
        </w:rPr>
        <w:t xml:space="preserve">relativamente bassa in termini di efficienza industriale. </w:t>
      </w:r>
    </w:p>
    <w:p w:rsidR="00D7141D" w:rsidRDefault="00061D38" w:rsidP="00D7141D">
      <w:pPr>
        <w:pStyle w:val="Corpodeltesto"/>
        <w:spacing w:line="360" w:lineRule="auto"/>
        <w:ind w:left="360" w:right="567"/>
        <w:jc w:val="both"/>
        <w:rPr>
          <w:rFonts w:ascii="Calibri" w:hAnsi="Calibri" w:cs="Arial"/>
          <w:color w:val="auto"/>
          <w:szCs w:val="24"/>
        </w:rPr>
      </w:pPr>
      <w:r>
        <w:rPr>
          <w:rFonts w:ascii="Calibri" w:hAnsi="Calibri" w:cs="Arial"/>
          <w:color w:val="auto"/>
          <w:szCs w:val="24"/>
        </w:rPr>
        <w:t>Parimenti, i</w:t>
      </w:r>
      <w:r w:rsidR="00D7141D">
        <w:rPr>
          <w:rFonts w:ascii="Calibri" w:hAnsi="Calibri" w:cs="Arial"/>
          <w:color w:val="auto"/>
          <w:szCs w:val="24"/>
        </w:rPr>
        <w:t xml:space="preserve">l documento prodotto dal Comitato Tecnico Infrastrutture, Logistica e Mobilità di Confindustria sul tema del rilancio infrastrutturale, </w:t>
      </w:r>
      <w:r>
        <w:rPr>
          <w:rFonts w:ascii="Calibri" w:hAnsi="Calibri" w:cs="Arial"/>
          <w:color w:val="auto"/>
          <w:szCs w:val="24"/>
        </w:rPr>
        <w:t>evidenzia</w:t>
      </w:r>
      <w:r w:rsidR="00D7141D">
        <w:rPr>
          <w:rFonts w:ascii="Calibri" w:hAnsi="Calibri" w:cs="Arial"/>
          <w:color w:val="auto"/>
          <w:szCs w:val="24"/>
        </w:rPr>
        <w:t xml:space="preserve"> le criticità del sistema, la necessità di miglioramento della sua efficienza, nonché alcune indicazioni propositive di riforma. </w:t>
      </w:r>
    </w:p>
    <w:p w:rsidR="007B10E0" w:rsidRDefault="007B10E0" w:rsidP="00D7141D">
      <w:pPr>
        <w:pStyle w:val="Corpodeltesto"/>
        <w:spacing w:line="360" w:lineRule="auto"/>
        <w:ind w:left="360" w:right="567"/>
        <w:jc w:val="both"/>
        <w:rPr>
          <w:rFonts w:ascii="Calibri" w:hAnsi="Calibri" w:cs="Arial"/>
          <w:color w:val="auto"/>
          <w:szCs w:val="24"/>
        </w:rPr>
      </w:pPr>
      <w:r>
        <w:rPr>
          <w:rFonts w:ascii="Calibri" w:hAnsi="Calibri" w:cs="Arial"/>
          <w:color w:val="auto"/>
          <w:szCs w:val="24"/>
        </w:rPr>
        <w:t>Il Codice prevede agli articoli 75 e 113 la riduzione rispettivamente della cauzione provvisoria e definitiva nel caso in cui un’impresa sia dotata di un sistema di qualità aziendale, ponendo così in relazione la qualità con la garanzia della qualità della prestazione. Risulta pertanto opportuno analizzare la reale capacità del sistema di qualità aziendale a gar</w:t>
      </w:r>
      <w:r w:rsidR="00C66C04">
        <w:rPr>
          <w:rFonts w:ascii="Calibri" w:hAnsi="Calibri" w:cs="Arial"/>
          <w:color w:val="auto"/>
          <w:szCs w:val="24"/>
        </w:rPr>
        <w:t>a</w:t>
      </w:r>
      <w:r>
        <w:rPr>
          <w:rFonts w:ascii="Calibri" w:hAnsi="Calibri" w:cs="Arial"/>
          <w:color w:val="auto"/>
          <w:szCs w:val="24"/>
        </w:rPr>
        <w:t>ntire la prestazione.</w:t>
      </w:r>
    </w:p>
    <w:p w:rsidR="00C66C04" w:rsidRDefault="001E2ACD" w:rsidP="00BD0811">
      <w:pPr>
        <w:pStyle w:val="Corpodeltesto"/>
        <w:spacing w:line="360" w:lineRule="auto"/>
        <w:ind w:left="360" w:right="567"/>
        <w:jc w:val="both"/>
        <w:rPr>
          <w:rFonts w:ascii="Calibri" w:hAnsi="Calibri"/>
        </w:rPr>
      </w:pPr>
      <w:r>
        <w:rPr>
          <w:rFonts w:ascii="Calibri" w:hAnsi="Calibri"/>
        </w:rPr>
        <w:t xml:space="preserve">Alla luce di quanto sin qui osservato, nel presente </w:t>
      </w:r>
      <w:r w:rsidR="00233CBB">
        <w:rPr>
          <w:rFonts w:ascii="Calibri" w:hAnsi="Calibri"/>
        </w:rPr>
        <w:t>documento</w:t>
      </w:r>
      <w:r>
        <w:rPr>
          <w:rFonts w:ascii="Calibri" w:hAnsi="Calibri"/>
        </w:rPr>
        <w:t xml:space="preserve"> si </w:t>
      </w:r>
      <w:r w:rsidR="005D6BD6">
        <w:rPr>
          <w:rFonts w:ascii="Calibri" w:hAnsi="Calibri"/>
        </w:rPr>
        <w:t>considera</w:t>
      </w:r>
      <w:r>
        <w:rPr>
          <w:rFonts w:ascii="Calibri" w:hAnsi="Calibri"/>
        </w:rPr>
        <w:t xml:space="preserve"> </w:t>
      </w:r>
      <w:r w:rsidR="005C204C">
        <w:rPr>
          <w:rFonts w:ascii="Calibri" w:hAnsi="Calibri"/>
        </w:rPr>
        <w:t xml:space="preserve">la possibilità di </w:t>
      </w:r>
      <w:r w:rsidR="00233CBB">
        <w:rPr>
          <w:rFonts w:ascii="Calibri" w:hAnsi="Calibri"/>
        </w:rPr>
        <w:t>utilizzo dei criteri reputazionali</w:t>
      </w:r>
      <w:r>
        <w:rPr>
          <w:rFonts w:ascii="Calibri" w:hAnsi="Calibri"/>
        </w:rPr>
        <w:t xml:space="preserve">, sul presupposto che ciò possa risultare funzionale sia </w:t>
      </w:r>
      <w:r>
        <w:rPr>
          <w:rFonts w:ascii="Calibri" w:hAnsi="Calibri"/>
        </w:rPr>
        <w:lastRenderedPageBreak/>
        <w:t>sotto il profilo concorrenziale che sotto quello qualitativo.</w:t>
      </w:r>
      <w:r w:rsidR="005C204C">
        <w:rPr>
          <w:rFonts w:ascii="Calibri" w:hAnsi="Calibri"/>
        </w:rPr>
        <w:t xml:space="preserve"> </w:t>
      </w:r>
      <w:r w:rsidR="00233CBB">
        <w:rPr>
          <w:rFonts w:ascii="Calibri" w:hAnsi="Calibri"/>
        </w:rPr>
        <w:t xml:space="preserve">Viene, in particolare, </w:t>
      </w:r>
      <w:r w:rsidR="005D6BD6">
        <w:rPr>
          <w:rFonts w:ascii="Calibri" w:hAnsi="Calibri"/>
        </w:rPr>
        <w:t>valutata</w:t>
      </w:r>
      <w:r w:rsidR="00233CBB">
        <w:rPr>
          <w:rFonts w:ascii="Calibri" w:hAnsi="Calibri"/>
        </w:rPr>
        <w:t xml:space="preserve"> la possibilità</w:t>
      </w:r>
      <w:r>
        <w:rPr>
          <w:rFonts w:ascii="Calibri" w:hAnsi="Calibri"/>
        </w:rPr>
        <w:t xml:space="preserve"> di enucl</w:t>
      </w:r>
      <w:r w:rsidR="00B72E74">
        <w:rPr>
          <w:rFonts w:ascii="Calibri" w:hAnsi="Calibri"/>
        </w:rPr>
        <w:t>e</w:t>
      </w:r>
      <w:r>
        <w:rPr>
          <w:rFonts w:ascii="Calibri" w:hAnsi="Calibri"/>
        </w:rPr>
        <w:t>are</w:t>
      </w:r>
      <w:r w:rsidR="00233CBB">
        <w:rPr>
          <w:rFonts w:ascii="Calibri" w:hAnsi="Calibri"/>
        </w:rPr>
        <w:t xml:space="preserve"> </w:t>
      </w:r>
      <w:r w:rsidR="007B10E0">
        <w:rPr>
          <w:rFonts w:ascii="Calibri" w:hAnsi="Calibri"/>
        </w:rPr>
        <w:t xml:space="preserve">parametri </w:t>
      </w:r>
      <w:r>
        <w:rPr>
          <w:rFonts w:ascii="Calibri" w:hAnsi="Calibri"/>
        </w:rPr>
        <w:t xml:space="preserve">quanto più possibile oggettivi </w:t>
      </w:r>
      <w:r w:rsidR="005D6BD6">
        <w:rPr>
          <w:rFonts w:ascii="Calibri" w:hAnsi="Calibri"/>
        </w:rPr>
        <w:t xml:space="preserve">nella considerazione della </w:t>
      </w:r>
      <w:r w:rsidR="002A00A5" w:rsidRPr="002A00A5">
        <w:rPr>
          <w:rFonts w:ascii="Calibri" w:hAnsi="Calibri"/>
          <w:i/>
        </w:rPr>
        <w:t>performance</w:t>
      </w:r>
      <w:r w:rsidR="005D6BD6">
        <w:rPr>
          <w:rFonts w:ascii="Calibri" w:hAnsi="Calibri"/>
        </w:rPr>
        <w:t xml:space="preserve"> </w:t>
      </w:r>
      <w:r w:rsidR="005C204C">
        <w:rPr>
          <w:rFonts w:ascii="Calibri" w:hAnsi="Calibri"/>
        </w:rPr>
        <w:t xml:space="preserve">per evitare </w:t>
      </w:r>
      <w:r w:rsidR="007B10E0">
        <w:rPr>
          <w:rFonts w:ascii="Calibri" w:hAnsi="Calibri"/>
        </w:rPr>
        <w:t>eventua</w:t>
      </w:r>
      <w:r>
        <w:rPr>
          <w:rFonts w:ascii="Calibri" w:hAnsi="Calibri"/>
        </w:rPr>
        <w:t>li distorsioni connesse all’a</w:t>
      </w:r>
      <w:r w:rsidR="007B10E0">
        <w:rPr>
          <w:rFonts w:ascii="Calibri" w:hAnsi="Calibri"/>
        </w:rPr>
        <w:t>mpliamento della sfera di discr</w:t>
      </w:r>
      <w:r>
        <w:rPr>
          <w:rFonts w:ascii="Calibri" w:hAnsi="Calibri"/>
        </w:rPr>
        <w:t>ezionalità dell</w:t>
      </w:r>
      <w:r w:rsidR="007B10E0">
        <w:rPr>
          <w:rFonts w:ascii="Calibri" w:hAnsi="Calibri"/>
        </w:rPr>
        <w:t>e</w:t>
      </w:r>
      <w:r>
        <w:rPr>
          <w:rFonts w:ascii="Calibri" w:hAnsi="Calibri"/>
        </w:rPr>
        <w:t xml:space="preserve"> stazion</w:t>
      </w:r>
      <w:r w:rsidR="007B10E0">
        <w:rPr>
          <w:rFonts w:ascii="Calibri" w:hAnsi="Calibri"/>
        </w:rPr>
        <w:t>i</w:t>
      </w:r>
      <w:r>
        <w:rPr>
          <w:rFonts w:ascii="Calibri" w:hAnsi="Calibri"/>
        </w:rPr>
        <w:t xml:space="preserve"> appaltanti o, addirittura, fenomeni degenerativi </w:t>
      </w:r>
      <w:r w:rsidR="0092392B">
        <w:rPr>
          <w:rFonts w:ascii="Calibri" w:hAnsi="Calibri"/>
        </w:rPr>
        <w:t>di</w:t>
      </w:r>
      <w:r w:rsidR="005C204C">
        <w:rPr>
          <w:rFonts w:ascii="Calibri" w:hAnsi="Calibri"/>
        </w:rPr>
        <w:t xml:space="preserve"> corruzione e collusione tra imprese e stazioni appaltanti</w:t>
      </w:r>
      <w:r w:rsidR="0092392B">
        <w:rPr>
          <w:rFonts w:ascii="Calibri" w:hAnsi="Calibri"/>
        </w:rPr>
        <w:t>.</w:t>
      </w:r>
    </w:p>
    <w:p w:rsidR="00A546DE" w:rsidRPr="00BD0811" w:rsidRDefault="00BD0811" w:rsidP="00BD0811">
      <w:pPr>
        <w:pStyle w:val="Corpodeltesto"/>
        <w:spacing w:line="360" w:lineRule="auto"/>
        <w:ind w:left="360" w:right="567"/>
        <w:jc w:val="both"/>
        <w:rPr>
          <w:rFonts w:ascii="Calibri" w:hAnsi="Calibri"/>
        </w:rPr>
      </w:pPr>
      <w:r w:rsidRPr="00C66C04">
        <w:rPr>
          <w:rFonts w:ascii="Calibri" w:hAnsi="Calibri"/>
          <w:color w:val="auto"/>
        </w:rPr>
        <w:t xml:space="preserve">La costruzione di un sistema centralizzato per la valutazione della reputazione dei soggetti economici risponde all’esigenza di evidenziare il profilo </w:t>
      </w:r>
      <w:r w:rsidR="00C66C04">
        <w:rPr>
          <w:rFonts w:ascii="Calibri" w:hAnsi="Calibri"/>
          <w:color w:val="auto"/>
        </w:rPr>
        <w:t>dell’esecutore</w:t>
      </w:r>
      <w:r w:rsidRPr="00C66C04">
        <w:rPr>
          <w:rFonts w:ascii="Calibri" w:hAnsi="Calibri"/>
          <w:color w:val="auto"/>
        </w:rPr>
        <w:t xml:space="preserve"> attraverso un sistema di </w:t>
      </w:r>
      <w:r w:rsidRPr="00C66C04">
        <w:rPr>
          <w:rFonts w:ascii="Calibri" w:hAnsi="Calibri"/>
          <w:i/>
          <w:color w:val="auto"/>
        </w:rPr>
        <w:t>rating</w:t>
      </w:r>
      <w:r w:rsidRPr="00C66C04">
        <w:rPr>
          <w:rFonts w:ascii="Calibri" w:hAnsi="Calibri"/>
          <w:color w:val="auto"/>
        </w:rPr>
        <w:t>.  La verifica delle annotazioni sul casellario delle imprese, l’utilizzo delle informazioni acquisite dall’Osservatorio attraverso la raccolta sistematica dei dati sull’esecuzione del contratto o ancora l’analisi dei certificati di esecuzione lavori e delle relazioni dettagliate sul comportamento delle imprese possono contribuire a creare un archivio da cui è possibile desumere quanto il singolo operatore economico sia affidabile. I comportamenti che hanno contraddistinto i soggetti aggiudicatari nei contratti eseguiti possono costituire una base per risolvere il problema della selezione avversa; la reputazione degli operatori economici potrebbe coadiuvare le stazioni appaltanti nel selezionare i soggetti migliori non solo perché questi posseggono i requisiti stabiliti nel bando ma anche perché il loro passato di “buoni contraenti” è accertato dalle informazioni in posesso dell’Osservatorio.</w:t>
      </w:r>
      <w:r>
        <w:rPr>
          <w:rFonts w:ascii="Calibri" w:hAnsi="Calibri"/>
        </w:rPr>
        <w:t xml:space="preserve"> </w:t>
      </w:r>
      <w:r w:rsidR="000C2FD6">
        <w:rPr>
          <w:rFonts w:ascii="Calibri" w:hAnsi="Calibri"/>
        </w:rPr>
        <w:t>A tal fine</w:t>
      </w:r>
      <w:r w:rsidR="005D6BD6">
        <w:rPr>
          <w:rFonts w:ascii="Calibri" w:hAnsi="Calibri"/>
        </w:rPr>
        <w:t>,</w:t>
      </w:r>
      <w:r w:rsidR="000C2FD6" w:rsidRPr="00A73F24">
        <w:rPr>
          <w:rFonts w:ascii="Calibri" w:hAnsi="Calibri"/>
          <w:color w:val="auto"/>
        </w:rPr>
        <w:t xml:space="preserve"> si è ritenuto di illustrare sinteticamente nella presente relazione quanto segue:</w:t>
      </w:r>
    </w:p>
    <w:p w:rsidR="00A546DE" w:rsidRDefault="000C2FD6">
      <w:pPr>
        <w:pStyle w:val="Corpodeltesto"/>
        <w:numPr>
          <w:ilvl w:val="0"/>
          <w:numId w:val="24"/>
        </w:numPr>
        <w:tabs>
          <w:tab w:val="clear" w:pos="927"/>
          <w:tab w:val="num" w:pos="720"/>
        </w:tabs>
        <w:spacing w:line="360" w:lineRule="auto"/>
        <w:ind w:left="720" w:right="567"/>
        <w:jc w:val="both"/>
        <w:rPr>
          <w:rFonts w:ascii="Calibri" w:hAnsi="Calibri"/>
          <w:color w:val="auto"/>
        </w:rPr>
      </w:pPr>
      <w:r w:rsidRPr="00A73F24">
        <w:rPr>
          <w:rFonts w:ascii="Calibri" w:hAnsi="Calibri"/>
          <w:color w:val="auto"/>
        </w:rPr>
        <w:t>l’attuale sistema di qualificazione e le modalità con cui le annotazioni nel Casellario si riflettono sulla partecipazione alle gare (paragrafo 2);</w:t>
      </w:r>
    </w:p>
    <w:p w:rsidR="00A546DE" w:rsidRDefault="000C2FD6">
      <w:pPr>
        <w:pStyle w:val="Corpodeltesto"/>
        <w:numPr>
          <w:ilvl w:val="0"/>
          <w:numId w:val="24"/>
        </w:numPr>
        <w:tabs>
          <w:tab w:val="clear" w:pos="927"/>
          <w:tab w:val="num" w:pos="720"/>
        </w:tabs>
        <w:spacing w:line="360" w:lineRule="auto"/>
        <w:ind w:left="720" w:right="567"/>
        <w:jc w:val="both"/>
        <w:rPr>
          <w:rFonts w:ascii="Calibri" w:hAnsi="Calibri"/>
          <w:color w:val="auto"/>
        </w:rPr>
      </w:pPr>
      <w:r w:rsidRPr="00A73F24">
        <w:rPr>
          <w:rFonts w:ascii="Calibri" w:hAnsi="Calibri"/>
          <w:color w:val="auto"/>
        </w:rPr>
        <w:t>le modalità di costruzione di una reputazione positiva negli appalti di lavori (paragrafo 3);</w:t>
      </w:r>
    </w:p>
    <w:p w:rsidR="00A546DE" w:rsidRDefault="000C2FD6">
      <w:pPr>
        <w:pStyle w:val="Corpodeltesto"/>
        <w:numPr>
          <w:ilvl w:val="0"/>
          <w:numId w:val="24"/>
        </w:numPr>
        <w:tabs>
          <w:tab w:val="clear" w:pos="927"/>
          <w:tab w:val="num" w:pos="720"/>
        </w:tabs>
        <w:spacing w:line="360" w:lineRule="auto"/>
        <w:ind w:left="720" w:right="567"/>
        <w:jc w:val="both"/>
        <w:rPr>
          <w:rFonts w:ascii="Calibri" w:hAnsi="Calibri"/>
          <w:color w:val="auto"/>
        </w:rPr>
      </w:pPr>
      <w:r w:rsidRPr="00A73F24">
        <w:rPr>
          <w:rFonts w:ascii="Calibri" w:hAnsi="Calibri"/>
          <w:color w:val="auto"/>
        </w:rPr>
        <w:t>l’individuazione di criteri reputazionali negli appalti di servizi e forniture (paragrafo 4);</w:t>
      </w:r>
    </w:p>
    <w:p w:rsidR="00A546DE" w:rsidRDefault="000C2FD6">
      <w:pPr>
        <w:pStyle w:val="Corpodeltesto"/>
        <w:numPr>
          <w:ilvl w:val="0"/>
          <w:numId w:val="24"/>
        </w:numPr>
        <w:tabs>
          <w:tab w:val="clear" w:pos="927"/>
          <w:tab w:val="num" w:pos="720"/>
        </w:tabs>
        <w:spacing w:line="360" w:lineRule="auto"/>
        <w:ind w:left="720" w:right="567"/>
        <w:jc w:val="both"/>
        <w:rPr>
          <w:rFonts w:ascii="Calibri" w:hAnsi="Calibri"/>
          <w:color w:val="auto"/>
        </w:rPr>
      </w:pPr>
      <w:r w:rsidRPr="00A73F24">
        <w:rPr>
          <w:rFonts w:ascii="Calibri" w:hAnsi="Calibri"/>
          <w:color w:val="auto"/>
        </w:rPr>
        <w:t>le pros</w:t>
      </w:r>
      <w:r w:rsidR="007B10E0">
        <w:rPr>
          <w:rFonts w:ascii="Calibri" w:hAnsi="Calibri"/>
          <w:color w:val="auto"/>
        </w:rPr>
        <w:t>p</w:t>
      </w:r>
      <w:r w:rsidRPr="00A73F24">
        <w:rPr>
          <w:rFonts w:ascii="Calibri" w:hAnsi="Calibri"/>
          <w:color w:val="auto"/>
        </w:rPr>
        <w:t>ettive di utilizzo dei criteri reputazionali (paragrafo 5);</w:t>
      </w:r>
    </w:p>
    <w:p w:rsidR="00F615AD" w:rsidRDefault="000C2FD6" w:rsidP="00C66C04">
      <w:pPr>
        <w:pStyle w:val="Corpodeltesto"/>
        <w:numPr>
          <w:ilvl w:val="0"/>
          <w:numId w:val="24"/>
        </w:numPr>
        <w:tabs>
          <w:tab w:val="clear" w:pos="927"/>
          <w:tab w:val="num" w:pos="720"/>
        </w:tabs>
        <w:spacing w:line="360" w:lineRule="auto"/>
        <w:ind w:left="720" w:right="567"/>
        <w:jc w:val="both"/>
        <w:rPr>
          <w:rFonts w:ascii="Calibri" w:hAnsi="Calibri"/>
          <w:color w:val="auto"/>
        </w:rPr>
      </w:pPr>
      <w:r w:rsidRPr="00A73F24">
        <w:rPr>
          <w:rFonts w:ascii="Calibri" w:hAnsi="Calibri"/>
          <w:color w:val="auto"/>
        </w:rPr>
        <w:t>le conclusioni e le proposte (paragrafo 6).</w:t>
      </w:r>
    </w:p>
    <w:p w:rsidR="005C204C" w:rsidRPr="005928DC" w:rsidRDefault="005928DC" w:rsidP="005928DC">
      <w:pPr>
        <w:pStyle w:val="Paragrafoelenco"/>
        <w:numPr>
          <w:ilvl w:val="0"/>
          <w:numId w:val="7"/>
        </w:numPr>
        <w:spacing w:line="360" w:lineRule="auto"/>
        <w:jc w:val="both"/>
        <w:rPr>
          <w:rFonts w:ascii="Calibri" w:hAnsi="Calibri" w:cs="Arial"/>
          <w:b/>
          <w:color w:val="auto"/>
          <w:szCs w:val="24"/>
        </w:rPr>
      </w:pPr>
      <w:r w:rsidRPr="005928DC">
        <w:rPr>
          <w:rFonts w:ascii="Calibri" w:hAnsi="Calibri" w:cs="Arial"/>
          <w:b/>
          <w:color w:val="auto"/>
          <w:szCs w:val="24"/>
        </w:rPr>
        <w:lastRenderedPageBreak/>
        <w:t>La reputazione negativa nell’attuale sistema di qualificazione</w:t>
      </w:r>
    </w:p>
    <w:p w:rsidR="002F6AAF" w:rsidRPr="00EC4E67" w:rsidRDefault="00DE220C" w:rsidP="002F6AAF">
      <w:pPr>
        <w:pStyle w:val="Corpodeltesto"/>
        <w:tabs>
          <w:tab w:val="left" w:pos="426"/>
        </w:tabs>
        <w:spacing w:line="360" w:lineRule="auto"/>
        <w:ind w:left="426" w:right="567"/>
        <w:jc w:val="both"/>
        <w:rPr>
          <w:rFonts w:ascii="Calibri" w:hAnsi="Calibri"/>
          <w:iCs/>
        </w:rPr>
      </w:pPr>
      <w:r w:rsidRPr="009732B3">
        <w:rPr>
          <w:rFonts w:ascii="Calibri" w:hAnsi="Calibri"/>
          <w:iCs/>
        </w:rPr>
        <w:t>L’esigenza di qualificazione del sistema imprenditoriale, nell’ambito degli appalti pubblici, scaturisce da una serie di fattori e dinamiche rinvenibili nel tessuto economico produttivo, quali la continua ricerca di competitività, l’urgenza nell’attuazione degli interventi, la coerenza tra le scelte progettual</w:t>
      </w:r>
      <w:r w:rsidR="00187AAD">
        <w:rPr>
          <w:rFonts w:ascii="Calibri" w:hAnsi="Calibri"/>
          <w:iCs/>
        </w:rPr>
        <w:t>i e la realizzazione efficiente ed efficace delle opere.</w:t>
      </w:r>
      <w:r w:rsidR="002F6AAF" w:rsidRPr="00EC4E67">
        <w:rPr>
          <w:rFonts w:ascii="Calibri" w:hAnsi="Calibri"/>
          <w:iCs/>
        </w:rPr>
        <w:t xml:space="preserve"> </w:t>
      </w:r>
    </w:p>
    <w:p w:rsidR="009A6C23" w:rsidRDefault="00FE0FDE" w:rsidP="00C33C9C">
      <w:pPr>
        <w:pStyle w:val="Corpodeltesto"/>
        <w:tabs>
          <w:tab w:val="left" w:pos="426"/>
        </w:tabs>
        <w:spacing w:line="360" w:lineRule="auto"/>
        <w:ind w:left="426" w:right="567"/>
        <w:jc w:val="both"/>
        <w:rPr>
          <w:rFonts w:ascii="Calibri" w:hAnsi="Calibri"/>
        </w:rPr>
      </w:pPr>
      <w:r>
        <w:rPr>
          <w:rFonts w:ascii="Calibri" w:hAnsi="Calibri"/>
        </w:rPr>
        <w:t xml:space="preserve">Con riguardo ai </w:t>
      </w:r>
      <w:r w:rsidR="00884623">
        <w:rPr>
          <w:rFonts w:ascii="Calibri" w:hAnsi="Calibri"/>
        </w:rPr>
        <w:t>lavori pubblici, l</w:t>
      </w:r>
      <w:r w:rsidR="00C13080" w:rsidRPr="00884623">
        <w:rPr>
          <w:rFonts w:ascii="Calibri" w:hAnsi="Calibri"/>
        </w:rPr>
        <w:t>’attuale sistema di qualificazione delle imprese è delineato dal DPR</w:t>
      </w:r>
      <w:r w:rsidR="00884623">
        <w:rPr>
          <w:rFonts w:ascii="Calibri" w:hAnsi="Calibri"/>
        </w:rPr>
        <w:t xml:space="preserve"> n.</w:t>
      </w:r>
      <w:r w:rsidR="00C13080" w:rsidRPr="00884623">
        <w:rPr>
          <w:rFonts w:ascii="Calibri" w:hAnsi="Calibri"/>
        </w:rPr>
        <w:t xml:space="preserve"> 34/2000</w:t>
      </w:r>
      <w:r w:rsidR="00884623">
        <w:rPr>
          <w:rFonts w:ascii="Calibri" w:hAnsi="Calibri"/>
        </w:rPr>
        <w:t>,</w:t>
      </w:r>
      <w:r w:rsidR="00C13080" w:rsidRPr="00884623">
        <w:rPr>
          <w:rFonts w:ascii="Calibri" w:hAnsi="Calibri"/>
        </w:rPr>
        <w:t xml:space="preserve"> il quale</w:t>
      </w:r>
      <w:r w:rsidR="00884623">
        <w:rPr>
          <w:rFonts w:ascii="Calibri" w:hAnsi="Calibri"/>
        </w:rPr>
        <w:t>,</w:t>
      </w:r>
      <w:r w:rsidR="00C13080" w:rsidRPr="00884623">
        <w:rPr>
          <w:rFonts w:ascii="Calibri" w:hAnsi="Calibri"/>
        </w:rPr>
        <w:t xml:space="preserve"> all’art</w:t>
      </w:r>
      <w:r w:rsidR="00884623">
        <w:rPr>
          <w:rFonts w:ascii="Calibri" w:hAnsi="Calibri"/>
        </w:rPr>
        <w:t>icolo</w:t>
      </w:r>
      <w:r w:rsidR="00C13080" w:rsidRPr="00884623">
        <w:rPr>
          <w:rFonts w:ascii="Calibri" w:hAnsi="Calibri"/>
        </w:rPr>
        <w:t xml:space="preserve"> 27</w:t>
      </w:r>
      <w:r w:rsidR="00884623">
        <w:rPr>
          <w:rFonts w:ascii="Calibri" w:hAnsi="Calibri"/>
        </w:rPr>
        <w:t>,</w:t>
      </w:r>
      <w:r w:rsidR="00C13080" w:rsidRPr="00884623">
        <w:rPr>
          <w:rFonts w:ascii="Calibri" w:hAnsi="Calibri"/>
        </w:rPr>
        <w:t xml:space="preserve"> istituisce il Casellario informatico (comma</w:t>
      </w:r>
      <w:r w:rsidR="00884623">
        <w:rPr>
          <w:rFonts w:ascii="Calibri" w:hAnsi="Calibri"/>
        </w:rPr>
        <w:t xml:space="preserve"> 1</w:t>
      </w:r>
      <w:r w:rsidR="00C13080" w:rsidRPr="00884623">
        <w:rPr>
          <w:rFonts w:ascii="Calibri" w:hAnsi="Calibri"/>
        </w:rPr>
        <w:t xml:space="preserve">) e ne </w:t>
      </w:r>
      <w:r w:rsidR="009732B3">
        <w:rPr>
          <w:rFonts w:ascii="Calibri" w:hAnsi="Calibri"/>
        </w:rPr>
        <w:t>individua</w:t>
      </w:r>
      <w:r w:rsidR="00C13080" w:rsidRPr="00884623">
        <w:rPr>
          <w:rFonts w:ascii="Calibri" w:hAnsi="Calibri"/>
        </w:rPr>
        <w:t xml:space="preserve"> i contenuti (comma</w:t>
      </w:r>
      <w:r w:rsidR="00884623">
        <w:rPr>
          <w:rFonts w:ascii="Calibri" w:hAnsi="Calibri"/>
        </w:rPr>
        <w:t xml:space="preserve"> 2</w:t>
      </w:r>
      <w:r w:rsidR="00C13080" w:rsidRPr="00884623">
        <w:rPr>
          <w:rFonts w:ascii="Calibri" w:hAnsi="Calibri"/>
        </w:rPr>
        <w:t>)</w:t>
      </w:r>
      <w:r w:rsidR="00884623">
        <w:rPr>
          <w:rFonts w:ascii="Calibri" w:hAnsi="Calibri"/>
        </w:rPr>
        <w:t xml:space="preserve">. Tra questi ultimi, </w:t>
      </w:r>
      <w:r w:rsidR="00C13080" w:rsidRPr="00884623">
        <w:rPr>
          <w:rFonts w:ascii="Calibri" w:hAnsi="Calibri"/>
        </w:rPr>
        <w:t xml:space="preserve"> oltre alle notizie anagrafiche identificative dell’impresa e della SOA</w:t>
      </w:r>
      <w:r w:rsidR="00BB4417">
        <w:rPr>
          <w:rFonts w:ascii="Calibri" w:hAnsi="Calibri"/>
        </w:rPr>
        <w:t xml:space="preserve"> (lettere a, b, c</w:t>
      </w:r>
      <w:r w:rsidR="00C13080" w:rsidRPr="00884623">
        <w:rPr>
          <w:rFonts w:ascii="Calibri" w:hAnsi="Calibri"/>
        </w:rPr>
        <w:t>,</w:t>
      </w:r>
      <w:r w:rsidR="00BB4417">
        <w:rPr>
          <w:rFonts w:ascii="Calibri" w:hAnsi="Calibri"/>
        </w:rPr>
        <w:t xml:space="preserve"> d, e</w:t>
      </w:r>
      <w:r w:rsidR="009A6C23">
        <w:rPr>
          <w:rFonts w:ascii="Calibri" w:hAnsi="Calibri"/>
        </w:rPr>
        <w:t>)</w:t>
      </w:r>
      <w:r w:rsidR="00C13080" w:rsidRPr="00884623">
        <w:rPr>
          <w:rFonts w:ascii="Calibri" w:hAnsi="Calibri"/>
        </w:rPr>
        <w:t xml:space="preserve"> sono </w:t>
      </w:r>
      <w:r w:rsidR="00884623">
        <w:rPr>
          <w:rFonts w:ascii="Calibri" w:hAnsi="Calibri"/>
        </w:rPr>
        <w:t>contemplate</w:t>
      </w:r>
      <w:r w:rsidR="00C13080" w:rsidRPr="00884623">
        <w:rPr>
          <w:rFonts w:ascii="Calibri" w:hAnsi="Calibri"/>
        </w:rPr>
        <w:t xml:space="preserve"> informazioni di carattere economico-organizzativo</w:t>
      </w:r>
      <w:r w:rsidR="00BB4417">
        <w:rPr>
          <w:rStyle w:val="Rimandonotaapidipagina"/>
          <w:rFonts w:ascii="Calibri" w:hAnsi="Calibri"/>
        </w:rPr>
        <w:footnoteReference w:id="2"/>
      </w:r>
      <w:r w:rsidR="007B10E0">
        <w:rPr>
          <w:rFonts w:ascii="Calibri" w:hAnsi="Calibri"/>
        </w:rPr>
        <w:t xml:space="preserve"> </w:t>
      </w:r>
      <w:r w:rsidR="00C13080" w:rsidRPr="00884623">
        <w:rPr>
          <w:rFonts w:ascii="Calibri" w:hAnsi="Calibri"/>
        </w:rPr>
        <w:t>relative</w:t>
      </w:r>
      <w:r w:rsidR="00C33C9C">
        <w:rPr>
          <w:rFonts w:ascii="Calibri" w:hAnsi="Calibri"/>
        </w:rPr>
        <w:t>, in sintesi,</w:t>
      </w:r>
      <w:r w:rsidR="00C13080" w:rsidRPr="00884623">
        <w:rPr>
          <w:rFonts w:ascii="Calibri" w:hAnsi="Calibri"/>
        </w:rPr>
        <w:t xml:space="preserve"> alla cifra d’affari, ai costi del personale, agli obblighi connessi ai rapporti di lavoro, agli ammortamenti, alle attrezzature tecniche, ai lavori eseguiti, ad eventuali procedure concorsuali pendenti, ad episodi di grave negligenza, a sentenze di condanna passate in giudicato, a provvedimenti di esclusione dalle gare, a false dichiarazioni su</w:t>
      </w:r>
      <w:r w:rsidR="00884623">
        <w:rPr>
          <w:rFonts w:ascii="Calibri" w:hAnsi="Calibri"/>
        </w:rPr>
        <w:t>i</w:t>
      </w:r>
      <w:r w:rsidR="00C13080" w:rsidRPr="00884623">
        <w:rPr>
          <w:rFonts w:ascii="Calibri" w:hAnsi="Calibri"/>
        </w:rPr>
        <w:t xml:space="preserve"> requisiti e </w:t>
      </w:r>
      <w:r w:rsidR="00884623">
        <w:rPr>
          <w:rFonts w:ascii="Calibri" w:hAnsi="Calibri"/>
        </w:rPr>
        <w:t xml:space="preserve">sulle </w:t>
      </w:r>
      <w:r w:rsidR="00C13080" w:rsidRPr="00884623">
        <w:rPr>
          <w:rFonts w:ascii="Calibri" w:hAnsi="Calibri"/>
        </w:rPr>
        <w:t>condizioni per la partecipazione alle gare.</w:t>
      </w:r>
      <w:r w:rsidR="00B72E74">
        <w:rPr>
          <w:rFonts w:ascii="Calibri" w:hAnsi="Calibri"/>
        </w:rPr>
        <w:t xml:space="preserve"> </w:t>
      </w:r>
      <w:r w:rsidR="00C13080" w:rsidRPr="00C33C9C">
        <w:rPr>
          <w:rFonts w:ascii="Calibri" w:hAnsi="Calibri"/>
        </w:rPr>
        <w:t>L’utilizzo di criteri reputazionali</w:t>
      </w:r>
      <w:r w:rsidR="00C33C9C">
        <w:rPr>
          <w:rFonts w:ascii="Calibri" w:hAnsi="Calibri"/>
        </w:rPr>
        <w:t xml:space="preserve"> </w:t>
      </w:r>
      <w:r w:rsidR="00C13080" w:rsidRPr="00C33C9C">
        <w:rPr>
          <w:rFonts w:ascii="Calibri" w:hAnsi="Calibri"/>
        </w:rPr>
        <w:t>per la qualificazione delle imprese è</w:t>
      </w:r>
      <w:r w:rsidR="00391219">
        <w:rPr>
          <w:rFonts w:ascii="Calibri" w:hAnsi="Calibri"/>
        </w:rPr>
        <w:t xml:space="preserve"> </w:t>
      </w:r>
      <w:r w:rsidR="00C13080" w:rsidRPr="00C33C9C">
        <w:rPr>
          <w:rFonts w:ascii="Calibri" w:hAnsi="Calibri"/>
        </w:rPr>
        <w:t>desumibile dagli art</w:t>
      </w:r>
      <w:r w:rsidR="00C33C9C">
        <w:rPr>
          <w:rFonts w:ascii="Calibri" w:hAnsi="Calibri"/>
        </w:rPr>
        <w:t xml:space="preserve">icoli </w:t>
      </w:r>
      <w:r w:rsidR="00C13080" w:rsidRPr="00C33C9C">
        <w:rPr>
          <w:rFonts w:ascii="Calibri" w:hAnsi="Calibri"/>
        </w:rPr>
        <w:t xml:space="preserve">38 e 40 del Codice dei contratti pubblici. </w:t>
      </w:r>
    </w:p>
    <w:p w:rsidR="009A6C23" w:rsidRDefault="00C13080" w:rsidP="00C33C9C">
      <w:pPr>
        <w:pStyle w:val="Corpodeltesto"/>
        <w:tabs>
          <w:tab w:val="left" w:pos="426"/>
        </w:tabs>
        <w:spacing w:line="360" w:lineRule="auto"/>
        <w:ind w:left="426" w:right="567"/>
        <w:jc w:val="both"/>
        <w:rPr>
          <w:rFonts w:ascii="Calibri" w:hAnsi="Calibri"/>
        </w:rPr>
      </w:pPr>
      <w:r w:rsidRPr="00C33C9C">
        <w:rPr>
          <w:rFonts w:ascii="Calibri" w:hAnsi="Calibri"/>
        </w:rPr>
        <w:lastRenderedPageBreak/>
        <w:t>In particolare</w:t>
      </w:r>
      <w:r w:rsidR="009A6C23">
        <w:rPr>
          <w:rFonts w:ascii="Calibri" w:hAnsi="Calibri"/>
        </w:rPr>
        <w:t>:</w:t>
      </w:r>
      <w:r w:rsidRPr="00C33C9C">
        <w:rPr>
          <w:rFonts w:ascii="Calibri" w:hAnsi="Calibri"/>
        </w:rPr>
        <w:t xml:space="preserve"> </w:t>
      </w:r>
    </w:p>
    <w:p w:rsidR="009A6C23" w:rsidRDefault="00C13080" w:rsidP="009A6C23">
      <w:pPr>
        <w:pStyle w:val="Corpodeltesto"/>
        <w:numPr>
          <w:ilvl w:val="0"/>
          <w:numId w:val="19"/>
        </w:numPr>
        <w:tabs>
          <w:tab w:val="left" w:pos="426"/>
        </w:tabs>
        <w:spacing w:line="360" w:lineRule="auto"/>
        <w:ind w:right="567"/>
        <w:jc w:val="both"/>
        <w:rPr>
          <w:rFonts w:ascii="Calibri" w:hAnsi="Calibri"/>
        </w:rPr>
      </w:pPr>
      <w:r w:rsidRPr="00C33C9C">
        <w:rPr>
          <w:rFonts w:ascii="Calibri" w:hAnsi="Calibri"/>
        </w:rPr>
        <w:t>l’art</w:t>
      </w:r>
      <w:r w:rsidR="00C33C9C">
        <w:rPr>
          <w:rFonts w:ascii="Calibri" w:hAnsi="Calibri"/>
        </w:rPr>
        <w:t>icolo</w:t>
      </w:r>
      <w:r w:rsidRPr="00C33C9C">
        <w:rPr>
          <w:rFonts w:ascii="Calibri" w:hAnsi="Calibri"/>
        </w:rPr>
        <w:t xml:space="preserve"> 38</w:t>
      </w:r>
      <w:r w:rsidR="007B10E0">
        <w:rPr>
          <w:rStyle w:val="Rimandonotaapidipagina"/>
          <w:rFonts w:ascii="Calibri" w:hAnsi="Calibri"/>
        </w:rPr>
        <w:footnoteReference w:id="3"/>
      </w:r>
      <w:r w:rsidR="00C33C9C">
        <w:rPr>
          <w:rFonts w:ascii="Calibri" w:hAnsi="Calibri"/>
        </w:rPr>
        <w:t>, nel disc</w:t>
      </w:r>
      <w:r w:rsidR="009A6C23">
        <w:rPr>
          <w:rFonts w:ascii="Calibri" w:hAnsi="Calibri"/>
        </w:rPr>
        <w:t>i</w:t>
      </w:r>
      <w:r w:rsidR="00C33C9C">
        <w:rPr>
          <w:rFonts w:ascii="Calibri" w:hAnsi="Calibri"/>
        </w:rPr>
        <w:t xml:space="preserve">plinare </w:t>
      </w:r>
      <w:r w:rsidRPr="00C33C9C">
        <w:rPr>
          <w:rFonts w:ascii="Calibri" w:hAnsi="Calibri"/>
        </w:rPr>
        <w:t>le cause di esclusione dalle gare e le relative modalità di accertamento, defin</w:t>
      </w:r>
      <w:r w:rsidR="00C33C9C">
        <w:rPr>
          <w:rFonts w:ascii="Calibri" w:hAnsi="Calibri"/>
        </w:rPr>
        <w:t xml:space="preserve">isce </w:t>
      </w:r>
      <w:r w:rsidRPr="00C33C9C">
        <w:rPr>
          <w:rFonts w:ascii="Calibri" w:hAnsi="Calibri"/>
        </w:rPr>
        <w:t xml:space="preserve">gli </w:t>
      </w:r>
      <w:r w:rsidR="00C33C9C">
        <w:rPr>
          <w:rFonts w:ascii="Calibri" w:hAnsi="Calibri"/>
        </w:rPr>
        <w:t xml:space="preserve">elementi </w:t>
      </w:r>
      <w:r w:rsidRPr="00C33C9C">
        <w:rPr>
          <w:rFonts w:ascii="Calibri" w:hAnsi="Calibri"/>
        </w:rPr>
        <w:t>che concorrono a costruire una “reputazione negativa” degli operatori economici</w:t>
      </w:r>
      <w:r w:rsidRPr="006970F1">
        <w:rPr>
          <w:rFonts w:ascii="Calibri" w:hAnsi="Calibri" w:cs="Arial"/>
          <w:color w:val="auto"/>
          <w:szCs w:val="24"/>
        </w:rPr>
        <w:t xml:space="preserve"> </w:t>
      </w:r>
    </w:p>
    <w:p w:rsidR="00C13080" w:rsidRPr="00C33C9C" w:rsidRDefault="009A6C23" w:rsidP="009A6C23">
      <w:pPr>
        <w:pStyle w:val="Corpodeltesto"/>
        <w:numPr>
          <w:ilvl w:val="0"/>
          <w:numId w:val="19"/>
        </w:numPr>
        <w:tabs>
          <w:tab w:val="left" w:pos="426"/>
        </w:tabs>
        <w:spacing w:line="360" w:lineRule="auto"/>
        <w:ind w:right="567"/>
        <w:jc w:val="both"/>
        <w:rPr>
          <w:rFonts w:ascii="Calibri" w:hAnsi="Calibri"/>
        </w:rPr>
      </w:pPr>
      <w:r>
        <w:rPr>
          <w:rFonts w:ascii="Calibri" w:hAnsi="Calibri"/>
        </w:rPr>
        <w:t>l</w:t>
      </w:r>
      <w:r w:rsidR="00C13080" w:rsidRPr="00C33C9C">
        <w:rPr>
          <w:rFonts w:ascii="Calibri" w:hAnsi="Calibri"/>
        </w:rPr>
        <w:t>’art</w:t>
      </w:r>
      <w:r w:rsidR="00C33C9C">
        <w:rPr>
          <w:rFonts w:ascii="Calibri" w:hAnsi="Calibri"/>
        </w:rPr>
        <w:t>icolo</w:t>
      </w:r>
      <w:r w:rsidR="00C13080" w:rsidRPr="00C33C9C">
        <w:rPr>
          <w:rFonts w:ascii="Calibri" w:hAnsi="Calibri"/>
        </w:rPr>
        <w:t xml:space="preserve"> 40</w:t>
      </w:r>
      <w:r w:rsidR="00C33C9C">
        <w:rPr>
          <w:rFonts w:ascii="Calibri" w:hAnsi="Calibri"/>
        </w:rPr>
        <w:t>,</w:t>
      </w:r>
      <w:r w:rsidR="00C13080" w:rsidRPr="00C33C9C">
        <w:rPr>
          <w:rFonts w:ascii="Calibri" w:hAnsi="Calibri"/>
        </w:rPr>
        <w:t xml:space="preserve"> invece</w:t>
      </w:r>
      <w:r w:rsidR="00C33C9C">
        <w:rPr>
          <w:rFonts w:ascii="Calibri" w:hAnsi="Calibri"/>
        </w:rPr>
        <w:t>,</w:t>
      </w:r>
      <w:r w:rsidR="00C13080" w:rsidRPr="00C33C9C">
        <w:rPr>
          <w:rFonts w:ascii="Calibri" w:hAnsi="Calibri"/>
        </w:rPr>
        <w:t xml:space="preserve"> introduce le referenze utilizzabili ai fini della qualificazione, delineando così</w:t>
      </w:r>
      <w:r w:rsidR="00391219">
        <w:rPr>
          <w:rFonts w:ascii="Calibri" w:hAnsi="Calibri"/>
        </w:rPr>
        <w:t xml:space="preserve"> il concetto di </w:t>
      </w:r>
      <w:r w:rsidR="00C13080" w:rsidRPr="00C33C9C">
        <w:rPr>
          <w:rFonts w:ascii="Calibri" w:hAnsi="Calibri"/>
        </w:rPr>
        <w:t xml:space="preserve">“reputazione positiva” dell’impresa. </w:t>
      </w:r>
      <w:r w:rsidR="00A648DA">
        <w:rPr>
          <w:rFonts w:ascii="Calibri" w:hAnsi="Calibri"/>
        </w:rPr>
        <w:t>I</w:t>
      </w:r>
      <w:r w:rsidR="00C13080" w:rsidRPr="00C33C9C">
        <w:rPr>
          <w:rFonts w:ascii="Calibri" w:hAnsi="Calibri"/>
        </w:rPr>
        <w:t>l comma 9 dell’art</w:t>
      </w:r>
      <w:r>
        <w:rPr>
          <w:rFonts w:ascii="Calibri" w:hAnsi="Calibri"/>
        </w:rPr>
        <w:t>icolo</w:t>
      </w:r>
      <w:r w:rsidR="00C13080" w:rsidRPr="00C33C9C">
        <w:rPr>
          <w:rFonts w:ascii="Calibri" w:hAnsi="Calibri"/>
        </w:rPr>
        <w:t xml:space="preserve"> 40 prescrive</w:t>
      </w:r>
      <w:r w:rsidR="00A648DA">
        <w:rPr>
          <w:rFonts w:ascii="Calibri" w:hAnsi="Calibri"/>
        </w:rPr>
        <w:t>, infatti,</w:t>
      </w:r>
      <w:r w:rsidR="00C13080" w:rsidRPr="00C33C9C">
        <w:rPr>
          <w:rFonts w:ascii="Calibri" w:hAnsi="Calibri"/>
        </w:rPr>
        <w:t xml:space="preserve"> che</w:t>
      </w:r>
      <w:r>
        <w:rPr>
          <w:rFonts w:ascii="Calibri" w:hAnsi="Calibri"/>
        </w:rPr>
        <w:t>,</w:t>
      </w:r>
      <w:r w:rsidR="00C13080" w:rsidRPr="00C33C9C">
        <w:rPr>
          <w:rFonts w:ascii="Calibri" w:hAnsi="Calibri"/>
        </w:rPr>
        <w:t xml:space="preserve"> nelle attestazioni rilasciate dalle SOA</w:t>
      </w:r>
      <w:r>
        <w:rPr>
          <w:rFonts w:ascii="Calibri" w:hAnsi="Calibri"/>
        </w:rPr>
        <w:t xml:space="preserve">, </w:t>
      </w:r>
      <w:r w:rsidR="00C13080" w:rsidRPr="00C33C9C">
        <w:rPr>
          <w:rFonts w:ascii="Calibri" w:hAnsi="Calibri"/>
        </w:rPr>
        <w:t xml:space="preserve">vengano indicate </w:t>
      </w:r>
      <w:r w:rsidRPr="00C33C9C">
        <w:rPr>
          <w:rFonts w:ascii="Calibri" w:hAnsi="Calibri"/>
        </w:rPr>
        <w:t xml:space="preserve">espressamente </w:t>
      </w:r>
      <w:r w:rsidR="00C13080" w:rsidRPr="00C33C9C">
        <w:rPr>
          <w:rFonts w:ascii="Calibri" w:hAnsi="Calibri"/>
        </w:rPr>
        <w:t xml:space="preserve">le referenze dell’impresa che ne hanno permesso il rilascio. </w:t>
      </w:r>
    </w:p>
    <w:p w:rsidR="00A546DE" w:rsidRDefault="00C13080">
      <w:pPr>
        <w:pStyle w:val="Corpodeltesto"/>
        <w:spacing w:line="360" w:lineRule="auto"/>
        <w:ind w:left="360" w:right="567"/>
        <w:jc w:val="both"/>
        <w:rPr>
          <w:rFonts w:ascii="Calibri" w:hAnsi="Calibri"/>
          <w:iCs/>
        </w:rPr>
      </w:pPr>
      <w:r>
        <w:rPr>
          <w:rFonts w:ascii="Calibri" w:hAnsi="Calibri" w:cs="Arial"/>
          <w:color w:val="auto"/>
          <w:szCs w:val="24"/>
        </w:rPr>
        <w:t xml:space="preserve">Dalla lettura </w:t>
      </w:r>
      <w:r w:rsidR="006970F1">
        <w:rPr>
          <w:rFonts w:ascii="Calibri" w:hAnsi="Calibri" w:cs="Arial"/>
          <w:color w:val="auto"/>
          <w:szCs w:val="24"/>
        </w:rPr>
        <w:t xml:space="preserve">comparativa </w:t>
      </w:r>
      <w:r>
        <w:rPr>
          <w:rFonts w:ascii="Calibri" w:hAnsi="Calibri" w:cs="Arial"/>
          <w:color w:val="auto"/>
          <w:szCs w:val="24"/>
        </w:rPr>
        <w:t xml:space="preserve">dei citati articoli, </w:t>
      </w:r>
      <w:r w:rsidR="006970F1">
        <w:rPr>
          <w:rFonts w:ascii="Calibri" w:hAnsi="Calibri" w:cs="Arial"/>
          <w:color w:val="auto"/>
          <w:szCs w:val="24"/>
        </w:rPr>
        <w:t xml:space="preserve">emerge che, al contrario </w:t>
      </w:r>
      <w:r>
        <w:rPr>
          <w:rFonts w:ascii="Calibri" w:hAnsi="Calibri" w:cs="Arial"/>
          <w:color w:val="auto"/>
          <w:szCs w:val="24"/>
        </w:rPr>
        <w:t xml:space="preserve"> di</w:t>
      </w:r>
      <w:r w:rsidR="006970F1">
        <w:rPr>
          <w:rFonts w:ascii="Calibri" w:hAnsi="Calibri" w:cs="Arial"/>
          <w:color w:val="auto"/>
          <w:szCs w:val="24"/>
        </w:rPr>
        <w:t xml:space="preserve"> quanto avviene </w:t>
      </w:r>
      <w:r>
        <w:rPr>
          <w:rFonts w:ascii="Calibri" w:hAnsi="Calibri" w:cs="Arial"/>
          <w:color w:val="auto"/>
          <w:szCs w:val="24"/>
        </w:rPr>
        <w:t xml:space="preserve"> </w:t>
      </w:r>
      <w:r w:rsidR="006970F1">
        <w:rPr>
          <w:rFonts w:ascii="Calibri" w:hAnsi="Calibri" w:cs="Arial"/>
          <w:color w:val="auto"/>
          <w:szCs w:val="24"/>
        </w:rPr>
        <w:t xml:space="preserve">per le </w:t>
      </w:r>
      <w:r>
        <w:rPr>
          <w:rFonts w:ascii="Calibri" w:hAnsi="Calibri" w:cs="Arial"/>
          <w:color w:val="auto"/>
          <w:szCs w:val="24"/>
        </w:rPr>
        <w:t>referenze negative</w:t>
      </w:r>
      <w:r w:rsidR="006970F1">
        <w:rPr>
          <w:rFonts w:ascii="Calibri" w:hAnsi="Calibri" w:cs="Arial"/>
          <w:color w:val="auto"/>
          <w:szCs w:val="24"/>
        </w:rPr>
        <w:t>,</w:t>
      </w:r>
      <w:r>
        <w:rPr>
          <w:rFonts w:ascii="Calibri" w:hAnsi="Calibri" w:cs="Arial"/>
          <w:color w:val="auto"/>
          <w:szCs w:val="24"/>
        </w:rPr>
        <w:t xml:space="preserve"> </w:t>
      </w:r>
      <w:r w:rsidR="006970F1">
        <w:rPr>
          <w:rFonts w:ascii="Calibri" w:hAnsi="Calibri" w:cs="Arial"/>
          <w:color w:val="auto"/>
          <w:szCs w:val="24"/>
        </w:rPr>
        <w:t xml:space="preserve">il Codice non individua espressamente i </w:t>
      </w:r>
      <w:r w:rsidR="00A834AF">
        <w:rPr>
          <w:rFonts w:ascii="Calibri" w:hAnsi="Calibri" w:cs="Arial"/>
          <w:color w:val="auto"/>
          <w:szCs w:val="24"/>
        </w:rPr>
        <w:t xml:space="preserve">possibili </w:t>
      </w:r>
      <w:r w:rsidR="006970F1">
        <w:rPr>
          <w:rFonts w:ascii="Calibri" w:hAnsi="Calibri" w:cs="Arial"/>
          <w:color w:val="auto"/>
          <w:szCs w:val="24"/>
        </w:rPr>
        <w:t xml:space="preserve">contenuti </w:t>
      </w:r>
      <w:r w:rsidR="00A834AF">
        <w:rPr>
          <w:rFonts w:ascii="Calibri" w:hAnsi="Calibri" w:cs="Arial"/>
          <w:color w:val="auto"/>
          <w:szCs w:val="24"/>
        </w:rPr>
        <w:t>d</w:t>
      </w:r>
      <w:r w:rsidR="006970F1">
        <w:rPr>
          <w:rFonts w:ascii="Calibri" w:hAnsi="Calibri" w:cs="Arial"/>
          <w:color w:val="auto"/>
          <w:szCs w:val="24"/>
        </w:rPr>
        <w:t xml:space="preserve">elle </w:t>
      </w:r>
      <w:r>
        <w:rPr>
          <w:rFonts w:ascii="Calibri" w:hAnsi="Calibri" w:cs="Arial"/>
          <w:color w:val="auto"/>
          <w:szCs w:val="24"/>
        </w:rPr>
        <w:t xml:space="preserve"> referenze positive</w:t>
      </w:r>
      <w:r w:rsidR="006970F1">
        <w:rPr>
          <w:rFonts w:ascii="Calibri" w:hAnsi="Calibri" w:cs="Arial"/>
          <w:color w:val="auto"/>
          <w:szCs w:val="24"/>
        </w:rPr>
        <w:t>, pur menziona</w:t>
      </w:r>
      <w:r w:rsidR="00A834AF">
        <w:rPr>
          <w:rFonts w:ascii="Calibri" w:hAnsi="Calibri" w:cs="Arial"/>
          <w:color w:val="auto"/>
          <w:szCs w:val="24"/>
        </w:rPr>
        <w:t>ndole</w:t>
      </w:r>
      <w:r w:rsidR="006970F1">
        <w:rPr>
          <w:rFonts w:ascii="Calibri" w:hAnsi="Calibri" w:cs="Arial"/>
          <w:color w:val="auto"/>
          <w:szCs w:val="24"/>
        </w:rPr>
        <w:t>.</w:t>
      </w:r>
      <w:r>
        <w:rPr>
          <w:rFonts w:ascii="Calibri" w:hAnsi="Calibri" w:cs="Arial"/>
          <w:color w:val="auto"/>
          <w:szCs w:val="24"/>
        </w:rPr>
        <w:t xml:space="preserve"> </w:t>
      </w:r>
      <w:r w:rsidR="00391219">
        <w:rPr>
          <w:rFonts w:ascii="Calibri" w:hAnsi="Calibri" w:cs="Arial"/>
          <w:color w:val="auto"/>
          <w:szCs w:val="24"/>
        </w:rPr>
        <w:t xml:space="preserve">E’, quindi, necessario procedere ad individuare tali elementi in via intepretativa. </w:t>
      </w:r>
    </w:p>
    <w:p w:rsidR="005928DC" w:rsidRDefault="005928DC" w:rsidP="0000382B">
      <w:pPr>
        <w:spacing w:line="360" w:lineRule="auto"/>
        <w:jc w:val="both"/>
        <w:rPr>
          <w:rFonts w:ascii="Calibri" w:hAnsi="Calibri" w:cs="Arial"/>
          <w:color w:val="auto"/>
          <w:szCs w:val="24"/>
        </w:rPr>
      </w:pPr>
    </w:p>
    <w:p w:rsidR="00061D38" w:rsidRDefault="00061D38" w:rsidP="00061D38">
      <w:pPr>
        <w:pStyle w:val="Paragrafoelenco"/>
        <w:numPr>
          <w:ilvl w:val="0"/>
          <w:numId w:val="7"/>
        </w:numPr>
        <w:spacing w:line="360" w:lineRule="auto"/>
        <w:jc w:val="both"/>
        <w:rPr>
          <w:rFonts w:ascii="Calibri" w:hAnsi="Calibri" w:cs="Arial"/>
          <w:b/>
          <w:color w:val="auto"/>
          <w:szCs w:val="24"/>
        </w:rPr>
      </w:pPr>
      <w:r w:rsidRPr="005928DC">
        <w:rPr>
          <w:rFonts w:ascii="Calibri" w:hAnsi="Calibri" w:cs="Arial"/>
          <w:b/>
          <w:color w:val="auto"/>
          <w:szCs w:val="24"/>
        </w:rPr>
        <w:t xml:space="preserve">La costruzione di una reputazione positiva </w:t>
      </w:r>
      <w:r>
        <w:rPr>
          <w:rFonts w:ascii="Calibri" w:hAnsi="Calibri" w:cs="Arial"/>
          <w:b/>
          <w:color w:val="auto"/>
          <w:szCs w:val="24"/>
        </w:rPr>
        <w:t>negli appalti di lavori</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Dalle considerazioni esposte nel paragrafo precedente</w:t>
      </w:r>
      <w:r w:rsidR="00283831">
        <w:rPr>
          <w:rFonts w:ascii="Calibri" w:hAnsi="Calibri" w:cs="Arial"/>
          <w:color w:val="auto"/>
          <w:szCs w:val="24"/>
        </w:rPr>
        <w:t>,</w:t>
      </w:r>
      <w:r>
        <w:rPr>
          <w:rFonts w:ascii="Calibri" w:hAnsi="Calibri" w:cs="Arial"/>
          <w:color w:val="auto"/>
          <w:szCs w:val="24"/>
        </w:rPr>
        <w:t xml:space="preserve"> </w:t>
      </w:r>
      <w:r w:rsidR="004E0500">
        <w:rPr>
          <w:rFonts w:ascii="Calibri" w:hAnsi="Calibri" w:cs="Arial"/>
          <w:color w:val="auto"/>
          <w:szCs w:val="24"/>
        </w:rPr>
        <w:t xml:space="preserve">emerge </w:t>
      </w:r>
      <w:r>
        <w:rPr>
          <w:rFonts w:ascii="Calibri" w:hAnsi="Calibri" w:cs="Arial"/>
          <w:color w:val="auto"/>
          <w:szCs w:val="24"/>
        </w:rPr>
        <w:t xml:space="preserve"> </w:t>
      </w:r>
      <w:r w:rsidR="004E0500">
        <w:rPr>
          <w:rFonts w:ascii="Calibri" w:hAnsi="Calibri" w:cs="Arial"/>
          <w:color w:val="auto"/>
          <w:szCs w:val="24"/>
        </w:rPr>
        <w:t>la necessità di individuare in quali elementi si sostanzia il concetto di “reputazione positiva”</w:t>
      </w:r>
      <w:r w:rsidR="00283831">
        <w:rPr>
          <w:rFonts w:ascii="Calibri" w:hAnsi="Calibri" w:cs="Arial"/>
          <w:color w:val="auto"/>
          <w:szCs w:val="24"/>
        </w:rPr>
        <w:t xml:space="preserve"> </w:t>
      </w:r>
      <w:r>
        <w:rPr>
          <w:rFonts w:ascii="Calibri" w:hAnsi="Calibri" w:cs="Arial"/>
          <w:color w:val="auto"/>
          <w:szCs w:val="24"/>
        </w:rPr>
        <w:t>e</w:t>
      </w:r>
      <w:r w:rsidR="004E0500">
        <w:rPr>
          <w:rFonts w:ascii="Calibri" w:hAnsi="Calibri" w:cs="Arial"/>
          <w:color w:val="auto"/>
          <w:szCs w:val="24"/>
        </w:rPr>
        <w:t xml:space="preserve">, in seguito a ciò, definirne </w:t>
      </w:r>
      <w:r>
        <w:rPr>
          <w:rFonts w:ascii="Calibri" w:hAnsi="Calibri" w:cs="Arial"/>
          <w:color w:val="auto"/>
          <w:szCs w:val="24"/>
        </w:rPr>
        <w:t>le modalità di utilizzo</w:t>
      </w:r>
      <w:r w:rsidR="00283831">
        <w:rPr>
          <w:rFonts w:ascii="Calibri" w:hAnsi="Calibri" w:cs="Arial"/>
          <w:color w:val="auto"/>
          <w:szCs w:val="24"/>
        </w:rPr>
        <w:t>.</w:t>
      </w:r>
      <w:r>
        <w:rPr>
          <w:rFonts w:ascii="Calibri" w:hAnsi="Calibri" w:cs="Arial"/>
          <w:color w:val="auto"/>
          <w:szCs w:val="24"/>
        </w:rPr>
        <w:t xml:space="preserve"> </w:t>
      </w:r>
      <w:r w:rsidR="00B72E74">
        <w:rPr>
          <w:rFonts w:ascii="Calibri" w:hAnsi="Calibri" w:cs="Arial"/>
          <w:color w:val="auto"/>
          <w:szCs w:val="24"/>
        </w:rPr>
        <w:t xml:space="preserve"> È </w:t>
      </w:r>
      <w:r w:rsidR="004E0500">
        <w:rPr>
          <w:rFonts w:ascii="Calibri" w:hAnsi="Calibri" w:cs="Arial"/>
          <w:color w:val="auto"/>
          <w:szCs w:val="24"/>
        </w:rPr>
        <w:t xml:space="preserve"> verosimile che quanto precede potrebbe </w:t>
      </w:r>
      <w:r w:rsidR="00283831">
        <w:rPr>
          <w:rFonts w:ascii="Calibri" w:hAnsi="Calibri" w:cs="Arial"/>
          <w:color w:val="auto"/>
          <w:szCs w:val="24"/>
        </w:rPr>
        <w:t xml:space="preserve"> indurre </w:t>
      </w:r>
      <w:r>
        <w:rPr>
          <w:rFonts w:ascii="Calibri" w:hAnsi="Calibri" w:cs="Arial"/>
          <w:color w:val="auto"/>
          <w:szCs w:val="24"/>
        </w:rPr>
        <w:t xml:space="preserve">le imprese </w:t>
      </w:r>
      <w:r w:rsidR="00283831">
        <w:rPr>
          <w:rFonts w:ascii="Calibri" w:hAnsi="Calibri" w:cs="Arial"/>
          <w:color w:val="auto"/>
          <w:szCs w:val="24"/>
        </w:rPr>
        <w:t xml:space="preserve">a cercare di </w:t>
      </w:r>
      <w:r w:rsidR="002A00A5" w:rsidRPr="00B72E74">
        <w:rPr>
          <w:rFonts w:ascii="Calibri" w:hAnsi="Calibri" w:cs="Arial"/>
          <w:color w:val="auto"/>
          <w:szCs w:val="24"/>
        </w:rPr>
        <w:t xml:space="preserve">conseguire una reputazione positiva la quale, poiché sfruttabile dal punto di vista sia della redditività sia dello sviluppo tecnico-economico-industriale dell’impresa, risulterà particolarmente ambita dagli operatori economici, dando luogo ad un meccanismo virtuoso proiettato al miglioramento della </w:t>
      </w:r>
      <w:r w:rsidR="002A00A5" w:rsidRPr="00B72E74">
        <w:rPr>
          <w:rFonts w:ascii="Calibri" w:hAnsi="Calibri" w:cs="Arial"/>
          <w:color w:val="auto"/>
          <w:szCs w:val="24"/>
        </w:rPr>
        <w:lastRenderedPageBreak/>
        <w:t>qualità ed alla crescita dell’intero settore.</w:t>
      </w:r>
    </w:p>
    <w:p w:rsidR="00A546DE" w:rsidRDefault="004E050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Peraltro</w:t>
      </w:r>
      <w:r w:rsidR="00061D38">
        <w:rPr>
          <w:rFonts w:ascii="Calibri" w:hAnsi="Calibri" w:cs="Arial"/>
          <w:color w:val="auto"/>
          <w:szCs w:val="24"/>
        </w:rPr>
        <w:t>, anche indipendentemente dalle modalità di utilizzo d</w:t>
      </w:r>
      <w:r>
        <w:rPr>
          <w:rFonts w:ascii="Calibri" w:hAnsi="Calibri" w:cs="Arial"/>
          <w:color w:val="auto"/>
          <w:szCs w:val="24"/>
        </w:rPr>
        <w:t>ei criteri reputazionali</w:t>
      </w:r>
      <w:r w:rsidR="00061D38">
        <w:rPr>
          <w:rFonts w:ascii="Calibri" w:hAnsi="Calibri" w:cs="Arial"/>
          <w:color w:val="auto"/>
          <w:szCs w:val="24"/>
        </w:rPr>
        <w:t xml:space="preserve">, </w:t>
      </w:r>
      <w:r w:rsidR="00283831">
        <w:rPr>
          <w:rFonts w:ascii="Calibri" w:hAnsi="Calibri" w:cs="Arial"/>
          <w:color w:val="auto"/>
          <w:szCs w:val="24"/>
        </w:rPr>
        <w:t>i</w:t>
      </w:r>
      <w:r w:rsidR="00061D38">
        <w:rPr>
          <w:rFonts w:ascii="Calibri" w:hAnsi="Calibri" w:cs="Arial"/>
          <w:color w:val="auto"/>
          <w:szCs w:val="24"/>
        </w:rPr>
        <w:t>l censimento</w:t>
      </w:r>
      <w:r>
        <w:rPr>
          <w:rFonts w:ascii="Calibri" w:hAnsi="Calibri" w:cs="Arial"/>
          <w:color w:val="auto"/>
          <w:szCs w:val="24"/>
        </w:rPr>
        <w:t xml:space="preserve"> delle relative informazioni</w:t>
      </w:r>
      <w:r w:rsidR="00061D38">
        <w:rPr>
          <w:rFonts w:ascii="Calibri" w:hAnsi="Calibri" w:cs="Arial"/>
          <w:color w:val="auto"/>
          <w:szCs w:val="24"/>
        </w:rPr>
        <w:t xml:space="preserve"> </w:t>
      </w:r>
      <w:r w:rsidR="00AA376F">
        <w:rPr>
          <w:rFonts w:ascii="Calibri" w:hAnsi="Calibri" w:cs="Arial"/>
          <w:color w:val="auto"/>
          <w:szCs w:val="24"/>
        </w:rPr>
        <w:t>delle stesse</w:t>
      </w:r>
      <w:r w:rsidR="00283831">
        <w:rPr>
          <w:rFonts w:ascii="Calibri" w:hAnsi="Calibri" w:cs="Arial"/>
          <w:color w:val="auto"/>
          <w:szCs w:val="24"/>
        </w:rPr>
        <w:t xml:space="preserve"> è comunque imposto </w:t>
      </w:r>
      <w:r w:rsidR="00061D38">
        <w:rPr>
          <w:rFonts w:ascii="Calibri" w:hAnsi="Calibri" w:cs="Arial"/>
          <w:color w:val="auto"/>
          <w:szCs w:val="24"/>
        </w:rPr>
        <w:t>dalla normativa vigente (art</w:t>
      </w:r>
      <w:r w:rsidR="00283831">
        <w:rPr>
          <w:rFonts w:ascii="Calibri" w:hAnsi="Calibri" w:cs="Arial"/>
          <w:color w:val="auto"/>
          <w:szCs w:val="24"/>
        </w:rPr>
        <w:t xml:space="preserve">icolo </w:t>
      </w:r>
      <w:r w:rsidR="00061D38">
        <w:rPr>
          <w:rFonts w:ascii="Calibri" w:hAnsi="Calibri" w:cs="Arial"/>
          <w:color w:val="auto"/>
          <w:szCs w:val="24"/>
        </w:rPr>
        <w:t xml:space="preserve"> 27, comma</w:t>
      </w:r>
      <w:r w:rsidR="00283831">
        <w:rPr>
          <w:rFonts w:ascii="Calibri" w:hAnsi="Calibri" w:cs="Arial"/>
          <w:color w:val="auto"/>
          <w:szCs w:val="24"/>
        </w:rPr>
        <w:t xml:space="preserve"> 4</w:t>
      </w:r>
      <w:r w:rsidR="00061D38">
        <w:rPr>
          <w:rFonts w:ascii="Calibri" w:hAnsi="Calibri" w:cs="Arial"/>
          <w:color w:val="auto"/>
          <w:szCs w:val="24"/>
        </w:rPr>
        <w:t xml:space="preserve"> del DPR </w:t>
      </w:r>
      <w:r w:rsidR="00283831">
        <w:rPr>
          <w:rFonts w:ascii="Calibri" w:hAnsi="Calibri" w:cs="Arial"/>
          <w:color w:val="auto"/>
          <w:szCs w:val="24"/>
        </w:rPr>
        <w:t xml:space="preserve">n. </w:t>
      </w:r>
      <w:r w:rsidR="00061D38">
        <w:rPr>
          <w:rFonts w:ascii="Calibri" w:hAnsi="Calibri" w:cs="Arial"/>
          <w:color w:val="auto"/>
          <w:szCs w:val="24"/>
        </w:rPr>
        <w:t xml:space="preserve">34/2000), ai fini dell’inserimento nel Casellario di tutte le altre notizie ritenute utili dall’Osservatorio. </w:t>
      </w:r>
    </w:p>
    <w:p w:rsidR="00A546DE" w:rsidRDefault="004E050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Più in dettaglio, l</w:t>
      </w:r>
      <w:r w:rsidR="00AA376F">
        <w:rPr>
          <w:rFonts w:ascii="Calibri" w:hAnsi="Calibri" w:cs="Arial"/>
          <w:color w:val="auto"/>
          <w:szCs w:val="24"/>
        </w:rPr>
        <w:t>’inserimento nel Casellario di informazioni repu</w:t>
      </w:r>
      <w:r w:rsidR="007B10E0">
        <w:rPr>
          <w:rFonts w:ascii="Calibri" w:hAnsi="Calibri" w:cs="Arial"/>
          <w:color w:val="auto"/>
          <w:szCs w:val="24"/>
        </w:rPr>
        <w:t>tazionali con valenza positiva</w:t>
      </w:r>
      <w:r w:rsidR="00AA376F">
        <w:rPr>
          <w:rFonts w:ascii="Calibri" w:hAnsi="Calibri" w:cs="Arial"/>
          <w:color w:val="auto"/>
          <w:szCs w:val="24"/>
        </w:rPr>
        <w:t xml:space="preserve"> </w:t>
      </w:r>
      <w:r>
        <w:rPr>
          <w:rFonts w:ascii="Calibri" w:hAnsi="Calibri" w:cs="Arial"/>
          <w:color w:val="auto"/>
          <w:szCs w:val="24"/>
        </w:rPr>
        <w:t>si basa su</w:t>
      </w:r>
      <w:r w:rsidR="00AA376F">
        <w:rPr>
          <w:rFonts w:ascii="Calibri" w:hAnsi="Calibri" w:cs="Arial"/>
          <w:color w:val="auto"/>
          <w:szCs w:val="24"/>
        </w:rPr>
        <w:t>lla lettera t) del comma 2 dell</w:t>
      </w:r>
      <w:r w:rsidR="007B10E0">
        <w:rPr>
          <w:rFonts w:ascii="Calibri" w:hAnsi="Calibri" w:cs="Arial"/>
          <w:color w:val="auto"/>
          <w:szCs w:val="24"/>
        </w:rPr>
        <w:t xml:space="preserve">’articolo 27 del DPR n. 34/2000, </w:t>
      </w:r>
      <w:r w:rsidR="00AA376F">
        <w:rPr>
          <w:rFonts w:ascii="Calibri" w:hAnsi="Calibri" w:cs="Arial"/>
          <w:color w:val="auto"/>
          <w:szCs w:val="24"/>
        </w:rPr>
        <w:t>il quale prevede espressamente che il Casellario debba contenere “</w:t>
      </w:r>
      <w:r w:rsidR="002A00A5" w:rsidRPr="002A00A5">
        <w:rPr>
          <w:rFonts w:ascii="Calibri" w:hAnsi="Calibri" w:cs="Arial"/>
          <w:i/>
          <w:color w:val="auto"/>
          <w:szCs w:val="24"/>
        </w:rPr>
        <w:t>tutte le altre  notizie riguardanti le imprese che, anche indipendentemente dall’esecuzione dei lavori, sono ritenute utili  dall’Osservatorio</w:t>
      </w:r>
      <w:r w:rsidR="00AA376F">
        <w:rPr>
          <w:rFonts w:ascii="Calibri" w:hAnsi="Calibri" w:cs="Arial"/>
          <w:color w:val="auto"/>
          <w:szCs w:val="24"/>
        </w:rPr>
        <w:t>”</w:t>
      </w:r>
      <w:r>
        <w:rPr>
          <w:rFonts w:ascii="Calibri" w:hAnsi="Calibri" w:cs="Arial"/>
          <w:color w:val="auto"/>
          <w:szCs w:val="24"/>
        </w:rPr>
        <w:t>.</w:t>
      </w:r>
    </w:p>
    <w:p w:rsidR="0097233B" w:rsidRPr="0097233B" w:rsidRDefault="0097233B" w:rsidP="0097233B">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Inoltre, </w:t>
      </w:r>
      <w:r w:rsidRPr="0097233B">
        <w:rPr>
          <w:rFonts w:ascii="Calibri" w:hAnsi="Calibri" w:cs="Arial"/>
          <w:color w:val="auto"/>
          <w:szCs w:val="24"/>
        </w:rPr>
        <w:t>l</w:t>
      </w:r>
      <w:r w:rsidR="00D901A0">
        <w:rPr>
          <w:rFonts w:ascii="Calibri" w:hAnsi="Calibri" w:cs="Arial"/>
          <w:color w:val="auto"/>
          <w:szCs w:val="24"/>
        </w:rPr>
        <w:t xml:space="preserve">o stesso </w:t>
      </w:r>
      <w:r w:rsidRPr="0097233B">
        <w:rPr>
          <w:rFonts w:ascii="Calibri" w:hAnsi="Calibri" w:cs="Arial"/>
          <w:color w:val="auto"/>
          <w:szCs w:val="24"/>
        </w:rPr>
        <w:t>art</w:t>
      </w:r>
      <w:r>
        <w:rPr>
          <w:rFonts w:ascii="Calibri" w:hAnsi="Calibri" w:cs="Arial"/>
          <w:color w:val="auto"/>
          <w:szCs w:val="24"/>
        </w:rPr>
        <w:t>icolo</w:t>
      </w:r>
      <w:r w:rsidRPr="0097233B">
        <w:rPr>
          <w:rFonts w:ascii="Calibri" w:hAnsi="Calibri" w:cs="Arial"/>
          <w:color w:val="auto"/>
          <w:szCs w:val="24"/>
        </w:rPr>
        <w:t xml:space="preserve"> 27</w:t>
      </w:r>
      <w:r w:rsidR="00D901A0">
        <w:rPr>
          <w:rFonts w:ascii="Calibri" w:hAnsi="Calibri" w:cs="Arial"/>
          <w:color w:val="auto"/>
          <w:szCs w:val="24"/>
        </w:rPr>
        <w:t xml:space="preserve">, comma 4, </w:t>
      </w:r>
      <w:r w:rsidRPr="0097233B">
        <w:rPr>
          <w:rFonts w:ascii="Calibri" w:hAnsi="Calibri" w:cs="Arial"/>
          <w:color w:val="auto"/>
          <w:szCs w:val="24"/>
        </w:rPr>
        <w:t xml:space="preserve"> prevede l’invio da parte delle stazioni appaltanti di relazioni dettagliate sul comportamento delle imprese, da effettuarsi tramite la compilazione della scheda tipo definita dell’Autorità</w:t>
      </w:r>
      <w:r w:rsidR="00055C22">
        <w:rPr>
          <w:rFonts w:ascii="Calibri" w:hAnsi="Calibri" w:cs="Arial"/>
          <w:color w:val="auto"/>
          <w:szCs w:val="24"/>
        </w:rPr>
        <w:t xml:space="preserve"> (sul punto, si veda quanto osservato nel successivo paragrafo)</w:t>
      </w:r>
      <w:r w:rsidRPr="0097233B">
        <w:rPr>
          <w:rFonts w:ascii="Calibri" w:hAnsi="Calibri" w:cs="Arial"/>
          <w:color w:val="auto"/>
          <w:szCs w:val="24"/>
        </w:rPr>
        <w:t xml:space="preserve">. </w:t>
      </w:r>
    </w:p>
    <w:p w:rsidR="00A546DE" w:rsidRDefault="00C64992">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Sulla base delle disposizioni citate, </w:t>
      </w:r>
      <w:r w:rsidR="00D901A0">
        <w:rPr>
          <w:rFonts w:ascii="Calibri" w:hAnsi="Calibri" w:cs="Arial"/>
          <w:color w:val="auto"/>
          <w:szCs w:val="24"/>
        </w:rPr>
        <w:t xml:space="preserve">una volta individuate nel dettaglio </w:t>
      </w:r>
      <w:r w:rsidR="0097233B">
        <w:rPr>
          <w:rFonts w:ascii="Calibri" w:hAnsi="Calibri" w:cs="Arial"/>
          <w:color w:val="auto"/>
          <w:szCs w:val="24"/>
        </w:rPr>
        <w:t>le informazioni da archiviare,</w:t>
      </w:r>
      <w:r w:rsidR="00061D38" w:rsidRPr="009C773E">
        <w:rPr>
          <w:rFonts w:ascii="Calibri" w:hAnsi="Calibri" w:cs="Arial"/>
          <w:color w:val="auto"/>
          <w:szCs w:val="24"/>
        </w:rPr>
        <w:t xml:space="preserve"> </w:t>
      </w:r>
      <w:r>
        <w:rPr>
          <w:rFonts w:ascii="Calibri" w:hAnsi="Calibri" w:cs="Arial"/>
          <w:color w:val="auto"/>
          <w:szCs w:val="24"/>
        </w:rPr>
        <w:t xml:space="preserve">è possibile ipotizzare la costruzione di </w:t>
      </w:r>
      <w:r w:rsidR="00061D38" w:rsidRPr="009C773E">
        <w:rPr>
          <w:rFonts w:ascii="Calibri" w:hAnsi="Calibri" w:cs="Arial"/>
          <w:color w:val="auto"/>
          <w:szCs w:val="24"/>
        </w:rPr>
        <w:t xml:space="preserve">un sistema di </w:t>
      </w:r>
      <w:r w:rsidR="00061D38" w:rsidRPr="009C773E">
        <w:rPr>
          <w:rFonts w:ascii="Calibri" w:hAnsi="Calibri" w:cs="Arial"/>
          <w:i/>
          <w:color w:val="auto"/>
          <w:szCs w:val="24"/>
        </w:rPr>
        <w:t>rating</w:t>
      </w:r>
      <w:r w:rsidR="00061D38" w:rsidRPr="009C773E">
        <w:rPr>
          <w:rFonts w:ascii="Calibri" w:hAnsi="Calibri" w:cs="Arial"/>
          <w:color w:val="auto"/>
          <w:szCs w:val="24"/>
        </w:rPr>
        <w:t xml:space="preserve"> per la valutazione delle imprese </w:t>
      </w:r>
      <w:r w:rsidR="00D901A0">
        <w:rPr>
          <w:rFonts w:ascii="Calibri" w:hAnsi="Calibri" w:cs="Arial"/>
          <w:color w:val="auto"/>
          <w:szCs w:val="24"/>
        </w:rPr>
        <w:t xml:space="preserve"> - </w:t>
      </w:r>
      <w:r w:rsidR="00061D38" w:rsidRPr="009C773E">
        <w:rPr>
          <w:rFonts w:ascii="Calibri" w:hAnsi="Calibri" w:cs="Arial"/>
          <w:color w:val="auto"/>
          <w:szCs w:val="24"/>
        </w:rPr>
        <w:t xml:space="preserve">che faccia riferimento alle reali capacità imprenditoriali/realizzative, alla </w:t>
      </w:r>
      <w:r w:rsidR="00D901A0">
        <w:rPr>
          <w:rFonts w:ascii="Calibri" w:hAnsi="Calibri" w:cs="Arial"/>
          <w:color w:val="auto"/>
          <w:szCs w:val="24"/>
        </w:rPr>
        <w:t>solidità</w:t>
      </w:r>
      <w:r w:rsidR="00D901A0" w:rsidRPr="009C773E">
        <w:rPr>
          <w:rFonts w:ascii="Calibri" w:hAnsi="Calibri" w:cs="Arial"/>
          <w:color w:val="auto"/>
          <w:szCs w:val="24"/>
        </w:rPr>
        <w:t xml:space="preserve"> </w:t>
      </w:r>
      <w:r w:rsidR="00061D38" w:rsidRPr="009C773E">
        <w:rPr>
          <w:rFonts w:ascii="Calibri" w:hAnsi="Calibri" w:cs="Arial"/>
          <w:color w:val="auto"/>
          <w:szCs w:val="24"/>
        </w:rPr>
        <w:t>finanziaria, alla serietà de</w:t>
      </w:r>
      <w:r w:rsidR="00D901A0">
        <w:rPr>
          <w:rFonts w:ascii="Calibri" w:hAnsi="Calibri" w:cs="Arial"/>
          <w:color w:val="auto"/>
          <w:szCs w:val="24"/>
        </w:rPr>
        <w:t>lle condotta d’affari pregressa</w:t>
      </w:r>
      <w:r w:rsidR="00061D38" w:rsidRPr="009C773E">
        <w:rPr>
          <w:rFonts w:ascii="Calibri" w:hAnsi="Calibri" w:cs="Arial"/>
          <w:color w:val="auto"/>
          <w:szCs w:val="24"/>
        </w:rPr>
        <w:t xml:space="preserve">, ecc. (come </w:t>
      </w:r>
      <w:r w:rsidR="00D901A0">
        <w:rPr>
          <w:rFonts w:ascii="Calibri" w:hAnsi="Calibri" w:cs="Arial"/>
          <w:color w:val="auto"/>
          <w:szCs w:val="24"/>
        </w:rPr>
        <w:t>anche</w:t>
      </w:r>
      <w:r w:rsidR="00D901A0" w:rsidRPr="009C773E">
        <w:rPr>
          <w:rFonts w:ascii="Calibri" w:hAnsi="Calibri" w:cs="Arial"/>
          <w:color w:val="auto"/>
          <w:szCs w:val="24"/>
        </w:rPr>
        <w:t xml:space="preserve"> </w:t>
      </w:r>
      <w:r w:rsidR="00061D38" w:rsidRPr="009C773E">
        <w:rPr>
          <w:rFonts w:ascii="Calibri" w:hAnsi="Calibri" w:cs="Arial"/>
          <w:color w:val="auto"/>
          <w:szCs w:val="24"/>
        </w:rPr>
        <w:t xml:space="preserve">suggerito dal Ministro Matteoli nel suo intervento al Convegno Unionsoa </w:t>
      </w:r>
      <w:r w:rsidR="00EF53CC">
        <w:rPr>
          <w:rFonts w:ascii="Calibri" w:hAnsi="Calibri" w:cs="Arial"/>
          <w:color w:val="auto"/>
          <w:szCs w:val="24"/>
        </w:rPr>
        <w:t>del</w:t>
      </w:r>
      <w:r w:rsidR="00061D38" w:rsidRPr="009C773E">
        <w:rPr>
          <w:rFonts w:ascii="Calibri" w:hAnsi="Calibri" w:cs="Arial"/>
          <w:color w:val="auto"/>
          <w:szCs w:val="24"/>
        </w:rPr>
        <w:t xml:space="preserve"> 10 novembre</w:t>
      </w:r>
      <w:r w:rsidR="00EF53CC">
        <w:rPr>
          <w:rFonts w:ascii="Calibri" w:hAnsi="Calibri" w:cs="Arial"/>
          <w:color w:val="auto"/>
          <w:szCs w:val="24"/>
        </w:rPr>
        <w:t xml:space="preserve"> u.s.</w:t>
      </w:r>
      <w:r w:rsidR="00061D38" w:rsidRPr="009C773E">
        <w:rPr>
          <w:rFonts w:ascii="Calibri" w:hAnsi="Calibri" w:cs="Arial"/>
          <w:color w:val="auto"/>
          <w:szCs w:val="24"/>
        </w:rPr>
        <w:t>)</w:t>
      </w:r>
      <w:r w:rsidR="00D901A0">
        <w:rPr>
          <w:rFonts w:ascii="Calibri" w:hAnsi="Calibri" w:cs="Arial"/>
          <w:color w:val="auto"/>
          <w:szCs w:val="24"/>
        </w:rPr>
        <w:t xml:space="preserve"> -</w:t>
      </w:r>
      <w:r w:rsidR="00AA376F">
        <w:rPr>
          <w:rFonts w:ascii="Calibri" w:hAnsi="Calibri" w:cs="Arial"/>
          <w:color w:val="auto"/>
          <w:szCs w:val="24"/>
        </w:rPr>
        <w:t xml:space="preserve"> grazie al quale </w:t>
      </w:r>
      <w:r w:rsidR="00061D38" w:rsidRPr="009C773E">
        <w:rPr>
          <w:rFonts w:ascii="Calibri" w:hAnsi="Calibri" w:cs="Arial"/>
          <w:color w:val="auto"/>
          <w:szCs w:val="24"/>
        </w:rPr>
        <w:t xml:space="preserve">le stazioni appaltanti potrebbero conoscere non soltanto gli aspetti dell’impresa desumibili </w:t>
      </w:r>
      <w:r w:rsidR="0097233B">
        <w:rPr>
          <w:rFonts w:ascii="Calibri" w:hAnsi="Calibri" w:cs="Arial"/>
          <w:color w:val="auto"/>
          <w:szCs w:val="24"/>
        </w:rPr>
        <w:t>da pre</w:t>
      </w:r>
      <w:r w:rsidR="00D901A0">
        <w:rPr>
          <w:rFonts w:ascii="Calibri" w:hAnsi="Calibri" w:cs="Arial"/>
          <w:color w:val="auto"/>
          <w:szCs w:val="24"/>
        </w:rPr>
        <w:t xml:space="preserve">cedenti </w:t>
      </w:r>
      <w:r w:rsidR="0097233B">
        <w:rPr>
          <w:rFonts w:ascii="Calibri" w:hAnsi="Calibri" w:cs="Arial"/>
          <w:color w:val="auto"/>
          <w:szCs w:val="24"/>
        </w:rPr>
        <w:t>prestazioni</w:t>
      </w:r>
      <w:r w:rsidR="00D901A0">
        <w:rPr>
          <w:rFonts w:ascii="Calibri" w:hAnsi="Calibri" w:cs="Arial"/>
          <w:color w:val="auto"/>
          <w:szCs w:val="24"/>
        </w:rPr>
        <w:t xml:space="preserve">, </w:t>
      </w:r>
      <w:r w:rsidR="00061D38" w:rsidRPr="009C773E">
        <w:rPr>
          <w:rFonts w:ascii="Calibri" w:hAnsi="Calibri" w:cs="Arial"/>
          <w:color w:val="auto"/>
          <w:szCs w:val="24"/>
        </w:rPr>
        <w:t>ma anche quelli relativi al</w:t>
      </w:r>
      <w:r w:rsidR="00D901A0">
        <w:rPr>
          <w:rFonts w:ascii="Calibri" w:hAnsi="Calibri" w:cs="Arial"/>
          <w:color w:val="auto"/>
          <w:szCs w:val="24"/>
        </w:rPr>
        <w:t xml:space="preserve"> comportamento </w:t>
      </w:r>
      <w:r w:rsidR="0097233B">
        <w:rPr>
          <w:rFonts w:ascii="Calibri" w:hAnsi="Calibri" w:cs="Arial"/>
          <w:color w:val="auto"/>
          <w:szCs w:val="24"/>
        </w:rPr>
        <w:t>tenut</w:t>
      </w:r>
      <w:r w:rsidR="00D901A0">
        <w:rPr>
          <w:rFonts w:ascii="Calibri" w:hAnsi="Calibri" w:cs="Arial"/>
          <w:color w:val="auto"/>
          <w:szCs w:val="24"/>
        </w:rPr>
        <w:t>o</w:t>
      </w:r>
      <w:r w:rsidR="00061D38" w:rsidRPr="009C773E">
        <w:rPr>
          <w:rFonts w:ascii="Calibri" w:hAnsi="Calibri" w:cs="Arial"/>
          <w:color w:val="auto"/>
          <w:szCs w:val="24"/>
        </w:rPr>
        <w:t xml:space="preserve"> </w:t>
      </w:r>
      <w:r w:rsidR="0097233B">
        <w:rPr>
          <w:rFonts w:ascii="Calibri" w:hAnsi="Calibri" w:cs="Arial"/>
          <w:color w:val="auto"/>
          <w:szCs w:val="24"/>
        </w:rPr>
        <w:t>durante lo svolgimento della gara</w:t>
      </w:r>
      <w:r w:rsidR="00061D38" w:rsidRPr="009C773E">
        <w:rPr>
          <w:rFonts w:ascii="Calibri" w:hAnsi="Calibri" w:cs="Arial"/>
          <w:color w:val="auto"/>
          <w:szCs w:val="24"/>
        </w:rPr>
        <w:t>.</w:t>
      </w:r>
      <w:r w:rsidR="00061D38">
        <w:rPr>
          <w:rFonts w:ascii="Calibri" w:hAnsi="Calibri" w:cs="Arial"/>
          <w:color w:val="auto"/>
          <w:szCs w:val="24"/>
        </w:rPr>
        <w:t xml:space="preserve">  </w:t>
      </w:r>
    </w:p>
    <w:p w:rsidR="00D35E42" w:rsidRDefault="00D901A0" w:rsidP="00D35E42">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E’</w:t>
      </w:r>
      <w:r w:rsidR="0097233B">
        <w:rPr>
          <w:rFonts w:ascii="Calibri" w:hAnsi="Calibri" w:cs="Arial"/>
          <w:color w:val="auto"/>
          <w:szCs w:val="24"/>
        </w:rPr>
        <w:t xml:space="preserve"> opportuno rilevare che sistemi</w:t>
      </w:r>
      <w:r>
        <w:rPr>
          <w:rFonts w:ascii="Calibri" w:hAnsi="Calibri" w:cs="Arial"/>
          <w:color w:val="auto"/>
          <w:szCs w:val="24"/>
        </w:rPr>
        <w:t xml:space="preserve"> non dissimili </w:t>
      </w:r>
      <w:r w:rsidR="0097233B">
        <w:rPr>
          <w:rFonts w:ascii="Calibri" w:hAnsi="Calibri" w:cs="Arial"/>
          <w:color w:val="auto"/>
          <w:szCs w:val="24"/>
        </w:rPr>
        <w:t xml:space="preserve">sono stati già adottati da alcune </w:t>
      </w:r>
      <w:r w:rsidR="00061D38">
        <w:rPr>
          <w:rFonts w:ascii="Calibri" w:hAnsi="Calibri" w:cs="Arial"/>
          <w:color w:val="auto"/>
          <w:szCs w:val="24"/>
        </w:rPr>
        <w:t>stazioni appaltanti</w:t>
      </w:r>
      <w:r w:rsidR="0097233B">
        <w:rPr>
          <w:rFonts w:ascii="Calibri" w:hAnsi="Calibri" w:cs="Arial"/>
          <w:color w:val="auto"/>
          <w:szCs w:val="24"/>
        </w:rPr>
        <w:t>,</w:t>
      </w:r>
      <w:r w:rsidR="00061D38">
        <w:rPr>
          <w:rFonts w:ascii="Calibri" w:hAnsi="Calibri" w:cs="Arial"/>
          <w:color w:val="auto"/>
          <w:szCs w:val="24"/>
        </w:rPr>
        <w:t xml:space="preserve"> operanti nei settori speciali</w:t>
      </w:r>
      <w:r w:rsidR="0097233B">
        <w:rPr>
          <w:rFonts w:ascii="Calibri" w:hAnsi="Calibri" w:cs="Arial"/>
          <w:color w:val="auto"/>
          <w:szCs w:val="24"/>
        </w:rPr>
        <w:t>,</w:t>
      </w:r>
      <w:r w:rsidR="00061D38">
        <w:rPr>
          <w:rFonts w:ascii="Calibri" w:hAnsi="Calibri" w:cs="Arial"/>
          <w:color w:val="auto"/>
          <w:szCs w:val="24"/>
        </w:rPr>
        <w:t xml:space="preserve"> </w:t>
      </w:r>
      <w:r>
        <w:rPr>
          <w:rFonts w:ascii="Calibri" w:hAnsi="Calibri" w:cs="Arial"/>
          <w:color w:val="auto"/>
          <w:szCs w:val="24"/>
        </w:rPr>
        <w:t xml:space="preserve">che </w:t>
      </w:r>
      <w:r w:rsidR="00061D38">
        <w:rPr>
          <w:rFonts w:ascii="Calibri" w:hAnsi="Calibri" w:cs="Arial"/>
          <w:color w:val="auto"/>
          <w:szCs w:val="24"/>
        </w:rPr>
        <w:t>si sono dotate, ai sensi di quanto disposto dall’art</w:t>
      </w:r>
      <w:r w:rsidR="0097233B">
        <w:rPr>
          <w:rFonts w:ascii="Calibri" w:hAnsi="Calibri" w:cs="Arial"/>
          <w:color w:val="auto"/>
          <w:szCs w:val="24"/>
        </w:rPr>
        <w:t xml:space="preserve">icolo </w:t>
      </w:r>
      <w:r w:rsidR="00061D38">
        <w:rPr>
          <w:rFonts w:ascii="Calibri" w:hAnsi="Calibri" w:cs="Arial"/>
          <w:color w:val="auto"/>
          <w:szCs w:val="24"/>
        </w:rPr>
        <w:t>232 del Codice, di un sistema di qualificazione degli operatori economici</w:t>
      </w:r>
      <w:r w:rsidR="0097233B">
        <w:rPr>
          <w:rFonts w:ascii="Calibri" w:hAnsi="Calibri" w:cs="Arial"/>
          <w:color w:val="auto"/>
          <w:szCs w:val="24"/>
        </w:rPr>
        <w:t>,</w:t>
      </w:r>
      <w:r w:rsidR="00061D38">
        <w:rPr>
          <w:rFonts w:ascii="Calibri" w:hAnsi="Calibri" w:cs="Arial"/>
          <w:color w:val="auto"/>
          <w:szCs w:val="24"/>
        </w:rPr>
        <w:t xml:space="preserve"> </w:t>
      </w:r>
      <w:r w:rsidR="00EF53CC">
        <w:rPr>
          <w:rFonts w:ascii="Calibri" w:hAnsi="Calibri" w:cs="Arial"/>
          <w:color w:val="auto"/>
          <w:szCs w:val="24"/>
        </w:rPr>
        <w:t>alla luce</w:t>
      </w:r>
      <w:r w:rsidR="00061D38">
        <w:rPr>
          <w:rFonts w:ascii="Calibri" w:hAnsi="Calibri" w:cs="Arial"/>
          <w:color w:val="auto"/>
          <w:szCs w:val="24"/>
        </w:rPr>
        <w:t xml:space="preserve"> delle specifiche peculiarità dell’ente.  </w:t>
      </w:r>
    </w:p>
    <w:p w:rsidR="00D35E42" w:rsidRDefault="00D35E42" w:rsidP="00D35E42">
      <w:pPr>
        <w:pStyle w:val="Corpodeltesto"/>
        <w:tabs>
          <w:tab w:val="left" w:pos="426"/>
        </w:tabs>
        <w:spacing w:line="360" w:lineRule="auto"/>
        <w:ind w:left="426" w:right="567"/>
        <w:jc w:val="both"/>
        <w:rPr>
          <w:rFonts w:ascii="Calibri" w:hAnsi="Calibri" w:cs="Arial"/>
          <w:color w:val="auto"/>
          <w:szCs w:val="24"/>
        </w:rPr>
      </w:pPr>
    </w:p>
    <w:p w:rsidR="00D35E42" w:rsidRDefault="00D35E42" w:rsidP="00D35E42">
      <w:pPr>
        <w:pStyle w:val="Corpodeltesto"/>
        <w:tabs>
          <w:tab w:val="left" w:pos="426"/>
        </w:tabs>
        <w:spacing w:line="360" w:lineRule="auto"/>
        <w:ind w:left="426" w:right="567"/>
        <w:jc w:val="both"/>
        <w:rPr>
          <w:rFonts w:ascii="Calibri" w:hAnsi="Calibri" w:cs="Arial"/>
          <w:b/>
          <w:color w:val="auto"/>
          <w:szCs w:val="24"/>
        </w:rPr>
      </w:pPr>
      <w:r w:rsidRPr="00D35E42">
        <w:rPr>
          <w:rFonts w:ascii="Calibri" w:hAnsi="Calibri" w:cs="Arial"/>
          <w:b/>
          <w:color w:val="auto"/>
          <w:szCs w:val="24"/>
        </w:rPr>
        <w:lastRenderedPageBreak/>
        <w:t>3.1</w:t>
      </w:r>
      <w:r>
        <w:rPr>
          <w:rFonts w:ascii="Calibri" w:hAnsi="Calibri" w:cs="Arial"/>
          <w:color w:val="auto"/>
          <w:szCs w:val="24"/>
        </w:rPr>
        <w:t xml:space="preserve">   </w:t>
      </w:r>
      <w:r w:rsidR="00061D38" w:rsidRPr="00A35363">
        <w:rPr>
          <w:rFonts w:ascii="Calibri" w:hAnsi="Calibri" w:cs="Arial"/>
          <w:b/>
          <w:color w:val="auto"/>
          <w:szCs w:val="24"/>
        </w:rPr>
        <w:t>La relazione dettagliata sul comportamento dell’impresa</w:t>
      </w:r>
      <w:r w:rsidR="00061D38">
        <w:rPr>
          <w:rFonts w:ascii="Calibri" w:hAnsi="Calibri" w:cs="Arial"/>
          <w:b/>
          <w:color w:val="auto"/>
          <w:szCs w:val="24"/>
        </w:rPr>
        <w:t xml:space="preserve"> nei lavori pubblici</w:t>
      </w:r>
      <w:r w:rsidR="00061D38" w:rsidRPr="00A35363">
        <w:rPr>
          <w:rFonts w:ascii="Calibri" w:hAnsi="Calibri" w:cs="Arial"/>
          <w:b/>
          <w:color w:val="auto"/>
          <w:szCs w:val="24"/>
        </w:rPr>
        <w:t xml:space="preserve"> in </w:t>
      </w:r>
      <w:r>
        <w:rPr>
          <w:rFonts w:ascii="Calibri" w:hAnsi="Calibri" w:cs="Arial"/>
          <w:b/>
          <w:color w:val="auto"/>
          <w:szCs w:val="24"/>
        </w:rPr>
        <w:t xml:space="preserve"> </w:t>
      </w:r>
    </w:p>
    <w:p w:rsidR="00061D38" w:rsidRPr="00A35363" w:rsidRDefault="00D35E42" w:rsidP="00D35E42">
      <w:pPr>
        <w:pStyle w:val="Corpodeltesto"/>
        <w:tabs>
          <w:tab w:val="left" w:pos="426"/>
        </w:tabs>
        <w:spacing w:line="360" w:lineRule="auto"/>
        <w:ind w:left="426" w:right="567"/>
        <w:jc w:val="both"/>
        <w:rPr>
          <w:rFonts w:ascii="Calibri" w:hAnsi="Calibri" w:cs="Arial"/>
          <w:b/>
          <w:color w:val="auto"/>
          <w:szCs w:val="24"/>
        </w:rPr>
      </w:pPr>
      <w:r>
        <w:rPr>
          <w:rFonts w:ascii="Calibri" w:hAnsi="Calibri" w:cs="Arial"/>
          <w:b/>
          <w:color w:val="auto"/>
          <w:szCs w:val="24"/>
        </w:rPr>
        <w:tab/>
        <w:t xml:space="preserve">   </w:t>
      </w:r>
      <w:r w:rsidR="00061D38" w:rsidRPr="00A35363">
        <w:rPr>
          <w:rFonts w:ascii="Calibri" w:hAnsi="Calibri" w:cs="Arial"/>
          <w:b/>
          <w:color w:val="auto"/>
          <w:szCs w:val="24"/>
        </w:rPr>
        <w:t>funzione dell’utilizzo di criteri reputazionali</w:t>
      </w:r>
    </w:p>
    <w:p w:rsidR="00195A26" w:rsidRDefault="00061D38" w:rsidP="00DA02FC">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L’Autorità, con atti di determinazione n. 36 del 2000 e n. 1 del 2005, ha provveduto</w:t>
      </w:r>
      <w:r w:rsidRPr="00D9424D">
        <w:rPr>
          <w:rFonts w:ascii="Calibri" w:hAnsi="Calibri" w:cs="Arial"/>
          <w:color w:val="auto"/>
          <w:szCs w:val="24"/>
        </w:rPr>
        <w:t xml:space="preserve"> </w:t>
      </w:r>
      <w:r>
        <w:rPr>
          <w:rFonts w:ascii="Calibri" w:hAnsi="Calibri" w:cs="Arial"/>
          <w:color w:val="auto"/>
          <w:szCs w:val="24"/>
        </w:rPr>
        <w:t>a redigere</w:t>
      </w:r>
      <w:r w:rsidR="005F1729">
        <w:rPr>
          <w:rFonts w:ascii="Calibri" w:hAnsi="Calibri" w:cs="Arial"/>
          <w:color w:val="auto"/>
          <w:szCs w:val="24"/>
        </w:rPr>
        <w:t>,</w:t>
      </w:r>
      <w:r w:rsidRPr="00D9424D">
        <w:rPr>
          <w:rFonts w:ascii="Calibri" w:hAnsi="Calibri" w:cs="Arial"/>
          <w:color w:val="auto"/>
          <w:szCs w:val="24"/>
        </w:rPr>
        <w:t xml:space="preserve"> </w:t>
      </w:r>
      <w:r>
        <w:rPr>
          <w:rFonts w:ascii="Calibri" w:hAnsi="Calibri" w:cs="Arial"/>
          <w:color w:val="auto"/>
          <w:szCs w:val="24"/>
        </w:rPr>
        <w:t>rispettivamente</w:t>
      </w:r>
      <w:r w:rsidR="00195A26">
        <w:rPr>
          <w:rFonts w:ascii="Calibri" w:hAnsi="Calibri" w:cs="Arial"/>
          <w:color w:val="auto"/>
          <w:szCs w:val="24"/>
        </w:rPr>
        <w:t>:</w:t>
      </w:r>
    </w:p>
    <w:p w:rsidR="00A546DE" w:rsidRDefault="00061D38">
      <w:pPr>
        <w:pStyle w:val="Corpodeltesto"/>
        <w:numPr>
          <w:ilvl w:val="0"/>
          <w:numId w:val="23"/>
        </w:numPr>
        <w:tabs>
          <w:tab w:val="left" w:pos="426"/>
        </w:tabs>
        <w:spacing w:line="360" w:lineRule="auto"/>
        <w:ind w:right="567"/>
        <w:jc w:val="both"/>
        <w:rPr>
          <w:rFonts w:ascii="Calibri" w:hAnsi="Calibri" w:cs="Arial"/>
          <w:color w:val="auto"/>
          <w:szCs w:val="24"/>
        </w:rPr>
      </w:pPr>
      <w:r>
        <w:rPr>
          <w:rFonts w:ascii="Calibri" w:hAnsi="Calibri" w:cs="Arial"/>
          <w:color w:val="auto"/>
          <w:szCs w:val="24"/>
        </w:rPr>
        <w:t>lo schema di relazione dettagliata da inoltrare al termine dei lavori</w:t>
      </w:r>
      <w:r w:rsidR="00195A26">
        <w:rPr>
          <w:rFonts w:ascii="Calibri" w:hAnsi="Calibri" w:cs="Arial"/>
          <w:color w:val="auto"/>
          <w:szCs w:val="24"/>
        </w:rPr>
        <w:t>;</w:t>
      </w:r>
    </w:p>
    <w:p w:rsidR="00A546DE" w:rsidRDefault="00061D38">
      <w:pPr>
        <w:pStyle w:val="Corpodeltesto"/>
        <w:numPr>
          <w:ilvl w:val="0"/>
          <w:numId w:val="23"/>
        </w:numPr>
        <w:tabs>
          <w:tab w:val="left" w:pos="426"/>
        </w:tabs>
        <w:spacing w:line="360" w:lineRule="auto"/>
        <w:ind w:right="567"/>
        <w:jc w:val="both"/>
        <w:rPr>
          <w:rFonts w:ascii="Calibri" w:hAnsi="Calibri" w:cs="Arial"/>
          <w:color w:val="auto"/>
          <w:szCs w:val="24"/>
        </w:rPr>
      </w:pPr>
      <w:r>
        <w:rPr>
          <w:rFonts w:ascii="Calibri" w:hAnsi="Calibri" w:cs="Arial"/>
          <w:color w:val="auto"/>
          <w:szCs w:val="24"/>
        </w:rPr>
        <w:t xml:space="preserve">i modelli </w:t>
      </w:r>
      <w:r w:rsidR="00195A26">
        <w:rPr>
          <w:rFonts w:ascii="Calibri" w:hAnsi="Calibri" w:cs="Arial"/>
          <w:color w:val="auto"/>
          <w:szCs w:val="24"/>
        </w:rPr>
        <w:t xml:space="preserve">con </w:t>
      </w:r>
      <w:r>
        <w:rPr>
          <w:rFonts w:ascii="Calibri" w:hAnsi="Calibri" w:cs="Arial"/>
          <w:color w:val="auto"/>
          <w:szCs w:val="24"/>
        </w:rPr>
        <w:t xml:space="preserve">le informazioni da trasmettere in presenza di fatti riguardanti le fasi di partecipazione alla gara </w:t>
      </w:r>
      <w:r w:rsidR="007B10E0">
        <w:rPr>
          <w:rFonts w:ascii="Calibri" w:hAnsi="Calibri" w:cs="Arial"/>
          <w:color w:val="auto"/>
          <w:szCs w:val="24"/>
        </w:rPr>
        <w:t xml:space="preserve">(allegato A) </w:t>
      </w:r>
      <w:r>
        <w:rPr>
          <w:rFonts w:ascii="Calibri" w:hAnsi="Calibri" w:cs="Arial"/>
          <w:color w:val="auto"/>
          <w:szCs w:val="24"/>
        </w:rPr>
        <w:t xml:space="preserve">e di esecuzione dei lavori </w:t>
      </w:r>
      <w:r w:rsidR="007B10E0">
        <w:rPr>
          <w:rFonts w:ascii="Calibri" w:hAnsi="Calibri" w:cs="Arial"/>
          <w:color w:val="auto"/>
          <w:szCs w:val="24"/>
        </w:rPr>
        <w:t xml:space="preserve">(allegato B) </w:t>
      </w:r>
      <w:r>
        <w:rPr>
          <w:rFonts w:ascii="Calibri" w:hAnsi="Calibri" w:cs="Arial"/>
          <w:color w:val="auto"/>
          <w:szCs w:val="24"/>
        </w:rPr>
        <w:t>da annotare nel Casellario informatico</w:t>
      </w:r>
      <w:r w:rsidR="00195A26">
        <w:rPr>
          <w:rFonts w:ascii="Calibri" w:hAnsi="Calibri" w:cs="Arial"/>
          <w:color w:val="auto"/>
          <w:szCs w:val="24"/>
        </w:rPr>
        <w:t>,</w:t>
      </w:r>
      <w:r>
        <w:rPr>
          <w:rFonts w:ascii="Calibri" w:hAnsi="Calibri" w:cs="Arial"/>
          <w:color w:val="auto"/>
          <w:szCs w:val="24"/>
        </w:rPr>
        <w:t xml:space="preserve"> che </w:t>
      </w:r>
      <w:r w:rsidR="00195A26">
        <w:rPr>
          <w:rFonts w:ascii="Calibri" w:hAnsi="Calibri" w:cs="Arial"/>
          <w:color w:val="auto"/>
          <w:szCs w:val="24"/>
        </w:rPr>
        <w:t xml:space="preserve">consentono </w:t>
      </w:r>
      <w:r>
        <w:rPr>
          <w:rFonts w:ascii="Calibri" w:hAnsi="Calibri" w:cs="Arial"/>
          <w:color w:val="auto"/>
          <w:szCs w:val="24"/>
        </w:rPr>
        <w:t>di valutare positivamente o negativame</w:t>
      </w:r>
      <w:r w:rsidR="00195A26">
        <w:rPr>
          <w:rFonts w:ascii="Calibri" w:hAnsi="Calibri" w:cs="Arial"/>
          <w:color w:val="auto"/>
          <w:szCs w:val="24"/>
        </w:rPr>
        <w:t xml:space="preserve">nte </w:t>
      </w:r>
      <w:r>
        <w:rPr>
          <w:rFonts w:ascii="Calibri" w:hAnsi="Calibri" w:cs="Arial"/>
          <w:color w:val="auto"/>
          <w:szCs w:val="24"/>
        </w:rPr>
        <w:t>il comportamento delle imprese.</w:t>
      </w:r>
    </w:p>
    <w:p w:rsidR="00061D38" w:rsidRDefault="00061D38" w:rsidP="00D35E42">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L’esame comparato di tutti i dati ad oggi richiesti dall’Autorità mostra la presenza di alcune informazioni di tipo reputazionale</w:t>
      </w:r>
      <w:r w:rsidR="00195A26">
        <w:rPr>
          <w:rFonts w:ascii="Calibri" w:hAnsi="Calibri" w:cs="Arial"/>
          <w:color w:val="auto"/>
          <w:szCs w:val="24"/>
        </w:rPr>
        <w:t>,</w:t>
      </w:r>
      <w:r>
        <w:rPr>
          <w:rFonts w:ascii="Calibri" w:hAnsi="Calibri" w:cs="Arial"/>
          <w:color w:val="auto"/>
          <w:szCs w:val="24"/>
        </w:rPr>
        <w:t xml:space="preserve"> che potrebbero essere utilizzate per la qualificazione delle imprese. Vi sono</w:t>
      </w:r>
      <w:r w:rsidR="00195A26">
        <w:rPr>
          <w:rFonts w:ascii="Calibri" w:hAnsi="Calibri" w:cs="Arial"/>
          <w:color w:val="auto"/>
          <w:szCs w:val="24"/>
        </w:rPr>
        <w:t>,</w:t>
      </w:r>
      <w:r>
        <w:rPr>
          <w:rFonts w:ascii="Calibri" w:hAnsi="Calibri" w:cs="Arial"/>
          <w:color w:val="auto"/>
          <w:szCs w:val="24"/>
        </w:rPr>
        <w:t xml:space="preserve"> tuttavia</w:t>
      </w:r>
      <w:r w:rsidR="00195A26">
        <w:rPr>
          <w:rFonts w:ascii="Calibri" w:hAnsi="Calibri" w:cs="Arial"/>
          <w:color w:val="auto"/>
          <w:szCs w:val="24"/>
        </w:rPr>
        <w:t>,</w:t>
      </w:r>
      <w:r>
        <w:rPr>
          <w:rFonts w:ascii="Calibri" w:hAnsi="Calibri" w:cs="Arial"/>
          <w:color w:val="auto"/>
          <w:szCs w:val="24"/>
        </w:rPr>
        <w:t xml:space="preserve"> limiti di un certo rilievo riconducibili principalmente al carattere soggettivo di alcuni dati, </w:t>
      </w:r>
      <w:r w:rsidR="00195A26">
        <w:rPr>
          <w:rFonts w:ascii="Calibri" w:hAnsi="Calibri" w:cs="Arial"/>
          <w:color w:val="auto"/>
          <w:szCs w:val="24"/>
        </w:rPr>
        <w:t>che apre spazi di apprezzamento discrezionale e può condurre a violazioni del principio di parità di trattamento degli operatori</w:t>
      </w:r>
      <w:r>
        <w:rPr>
          <w:rFonts w:ascii="Calibri" w:hAnsi="Calibri" w:cs="Arial"/>
          <w:color w:val="auto"/>
          <w:szCs w:val="24"/>
        </w:rPr>
        <w:t xml:space="preserve">. </w:t>
      </w:r>
    </w:p>
    <w:p w:rsidR="00061D38" w:rsidRPr="009C773E" w:rsidRDefault="002A00A5" w:rsidP="00DA02FC">
      <w:pPr>
        <w:pStyle w:val="Corpodeltesto"/>
        <w:tabs>
          <w:tab w:val="left" w:pos="426"/>
        </w:tabs>
        <w:spacing w:line="360" w:lineRule="auto"/>
        <w:ind w:left="426" w:right="567"/>
        <w:jc w:val="both"/>
        <w:rPr>
          <w:rFonts w:ascii="Calibri" w:hAnsi="Calibri" w:cs="Arial"/>
          <w:color w:val="auto"/>
          <w:szCs w:val="24"/>
        </w:rPr>
      </w:pPr>
      <w:r w:rsidRPr="002A00A5">
        <w:rPr>
          <w:rFonts w:ascii="Calibri" w:hAnsi="Calibri" w:cs="Arial"/>
          <w:color w:val="auto"/>
          <w:szCs w:val="24"/>
        </w:rPr>
        <w:t>Appare</w:t>
      </w:r>
      <w:r w:rsidR="00187AAD" w:rsidRPr="006B41A3">
        <w:rPr>
          <w:rFonts w:ascii="Calibri" w:hAnsi="Calibri" w:cs="Arial"/>
          <w:color w:val="auto"/>
          <w:szCs w:val="24"/>
        </w:rPr>
        <w:t xml:space="preserve"> opportuno</w:t>
      </w:r>
      <w:r w:rsidR="00D35E42">
        <w:rPr>
          <w:rFonts w:ascii="Calibri" w:hAnsi="Calibri" w:cs="Arial"/>
          <w:color w:val="auto"/>
          <w:szCs w:val="24"/>
        </w:rPr>
        <w:t xml:space="preserve"> tuttavia evidenziare</w:t>
      </w:r>
      <w:r w:rsidR="00076916">
        <w:rPr>
          <w:rFonts w:ascii="Calibri" w:hAnsi="Calibri" w:cs="Arial"/>
          <w:color w:val="auto"/>
          <w:szCs w:val="24"/>
        </w:rPr>
        <w:t xml:space="preserve"> la necessità di semplificare le procedure di trasmissione dei dati tramite l’invio delle informazioni </w:t>
      </w:r>
      <w:r w:rsidR="00076916">
        <w:rPr>
          <w:rFonts w:ascii="Calibri" w:hAnsi="Calibri" w:cs="Arial"/>
          <w:i/>
          <w:color w:val="auto"/>
          <w:szCs w:val="24"/>
        </w:rPr>
        <w:t xml:space="preserve">on line, </w:t>
      </w:r>
      <w:r w:rsidR="00076916">
        <w:rPr>
          <w:rFonts w:ascii="Calibri" w:hAnsi="Calibri" w:cs="Arial"/>
          <w:color w:val="auto"/>
          <w:szCs w:val="24"/>
        </w:rPr>
        <w:t>nonché di</w:t>
      </w:r>
      <w:r w:rsidR="00076916">
        <w:rPr>
          <w:rFonts w:ascii="Calibri" w:hAnsi="Calibri" w:cs="Arial"/>
          <w:i/>
          <w:color w:val="auto"/>
          <w:szCs w:val="24"/>
        </w:rPr>
        <w:t xml:space="preserve"> </w:t>
      </w:r>
      <w:r w:rsidR="00076916">
        <w:rPr>
          <w:rFonts w:ascii="Calibri" w:hAnsi="Calibri" w:cs="Arial"/>
          <w:color w:val="auto"/>
          <w:szCs w:val="24"/>
        </w:rPr>
        <w:t xml:space="preserve"> procedere alla rielaborazione degli schemi attualmente utilizzati per la raccolta dei dati. </w:t>
      </w:r>
      <w:r w:rsidRPr="001F30D4">
        <w:rPr>
          <w:rFonts w:ascii="Calibri" w:hAnsi="Calibri" w:cs="Arial"/>
          <w:color w:val="auto"/>
          <w:szCs w:val="24"/>
        </w:rPr>
        <w:t xml:space="preserve">In tale rielaborazione, sarebbe auspicabile introdurre, tra le informazioni rilevanti, anche elementi che, opportunamente ponderati, possano condurre alla individuazione di appositi indici di </w:t>
      </w:r>
      <w:r w:rsidRPr="001F30D4">
        <w:rPr>
          <w:rFonts w:ascii="Calibri" w:hAnsi="Calibri" w:cs="Arial"/>
          <w:i/>
          <w:color w:val="auto"/>
          <w:szCs w:val="24"/>
        </w:rPr>
        <w:t>performance</w:t>
      </w:r>
      <w:r w:rsidRPr="001F30D4">
        <w:rPr>
          <w:rFonts w:ascii="Calibri" w:hAnsi="Calibri" w:cs="Arial"/>
          <w:color w:val="auto"/>
          <w:szCs w:val="24"/>
        </w:rPr>
        <w:t xml:space="preserve"> (positive e negative). Come osservato, la previsione di tali requisiti reputazionali troverebbe il proprio fondamento normativo nella lettera t) del  comma 2 dell’articolo 27 del DPR n. 34/2000,  laddove  prevede  l’inserimento di tutte le altre notizie riguardanti le imprese che, anche indipendentemente dall’esecuzione dei lavori, siano ritenute utili dall’Osservatorio ai fini della tenuta del Casellario.</w:t>
      </w:r>
      <w:r w:rsidR="00061D38" w:rsidRPr="009C773E">
        <w:rPr>
          <w:rFonts w:ascii="Calibri" w:hAnsi="Calibri" w:cs="Arial"/>
          <w:color w:val="auto"/>
          <w:szCs w:val="24"/>
        </w:rPr>
        <w:t xml:space="preserve"> </w:t>
      </w:r>
    </w:p>
    <w:p w:rsidR="00061D38" w:rsidRPr="009C773E" w:rsidRDefault="00BD2D13" w:rsidP="00DA02FC">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Si ritiene, al riguardo, che l</w:t>
      </w:r>
      <w:r w:rsidR="00550F63" w:rsidRPr="009C773E">
        <w:rPr>
          <w:rFonts w:ascii="Calibri" w:hAnsi="Calibri" w:cs="Arial"/>
          <w:color w:val="auto"/>
          <w:szCs w:val="24"/>
        </w:rPr>
        <w:t xml:space="preserve">a </w:t>
      </w:r>
      <w:r w:rsidR="00061D38" w:rsidRPr="009C773E">
        <w:rPr>
          <w:rFonts w:ascii="Calibri" w:hAnsi="Calibri" w:cs="Arial"/>
          <w:color w:val="auto"/>
          <w:szCs w:val="24"/>
        </w:rPr>
        <w:t>locuzione “</w:t>
      </w:r>
      <w:r w:rsidR="002A00A5" w:rsidRPr="002A00A5">
        <w:rPr>
          <w:rFonts w:ascii="Calibri" w:hAnsi="Calibri" w:cs="Arial"/>
          <w:i/>
          <w:color w:val="auto"/>
          <w:szCs w:val="24"/>
        </w:rPr>
        <w:t>anche indipendentemente dall’esecuzione dei lavori</w:t>
      </w:r>
      <w:r w:rsidR="00061D38" w:rsidRPr="009C773E">
        <w:rPr>
          <w:rFonts w:ascii="Calibri" w:hAnsi="Calibri" w:cs="Arial"/>
          <w:color w:val="auto"/>
          <w:szCs w:val="24"/>
        </w:rPr>
        <w:t xml:space="preserve">” </w:t>
      </w:r>
      <w:r w:rsidR="008B26B6">
        <w:rPr>
          <w:rFonts w:ascii="Calibri" w:hAnsi="Calibri" w:cs="Arial"/>
          <w:color w:val="auto"/>
          <w:szCs w:val="24"/>
        </w:rPr>
        <w:t xml:space="preserve">stia a significare che debbano, </w:t>
      </w:r>
      <w:r w:rsidR="002A00A5" w:rsidRPr="002A00A5">
        <w:rPr>
          <w:rFonts w:ascii="Calibri" w:hAnsi="Calibri" w:cs="Arial"/>
          <w:i/>
          <w:color w:val="auto"/>
          <w:szCs w:val="24"/>
        </w:rPr>
        <w:t>a contrario</w:t>
      </w:r>
      <w:r w:rsidR="008B26B6">
        <w:rPr>
          <w:rFonts w:ascii="Calibri" w:hAnsi="Calibri" w:cs="Arial"/>
          <w:color w:val="auto"/>
          <w:szCs w:val="24"/>
        </w:rPr>
        <w:t xml:space="preserve">, essere certamente considerate, </w:t>
      </w:r>
      <w:r w:rsidR="00061D38" w:rsidRPr="009C773E">
        <w:rPr>
          <w:rFonts w:ascii="Calibri" w:hAnsi="Calibri" w:cs="Arial"/>
          <w:color w:val="auto"/>
          <w:szCs w:val="24"/>
        </w:rPr>
        <w:t xml:space="preserve">quali </w:t>
      </w:r>
      <w:r w:rsidR="00061D38" w:rsidRPr="009C773E">
        <w:rPr>
          <w:rFonts w:ascii="Calibri" w:hAnsi="Calibri" w:cs="Arial"/>
          <w:color w:val="auto"/>
          <w:szCs w:val="24"/>
        </w:rPr>
        <w:lastRenderedPageBreak/>
        <w:t>notizie utili per la tenuta del Casellario</w:t>
      </w:r>
      <w:r w:rsidR="008B26B6">
        <w:rPr>
          <w:rFonts w:ascii="Calibri" w:hAnsi="Calibri" w:cs="Arial"/>
          <w:color w:val="auto"/>
          <w:szCs w:val="24"/>
        </w:rPr>
        <w:t xml:space="preserve">, le informazioni </w:t>
      </w:r>
      <w:r w:rsidR="00061D38" w:rsidRPr="009C773E">
        <w:rPr>
          <w:rFonts w:ascii="Calibri" w:hAnsi="Calibri" w:cs="Arial"/>
          <w:color w:val="auto"/>
          <w:szCs w:val="24"/>
        </w:rPr>
        <w:t xml:space="preserve">riguardanti il comportamento delle imprese </w:t>
      </w:r>
      <w:r w:rsidR="008B26B6">
        <w:rPr>
          <w:rFonts w:ascii="Calibri" w:hAnsi="Calibri" w:cs="Arial"/>
          <w:color w:val="auto"/>
          <w:szCs w:val="24"/>
        </w:rPr>
        <w:t xml:space="preserve">durante </w:t>
      </w:r>
      <w:r w:rsidR="00061D38" w:rsidRPr="009C773E">
        <w:rPr>
          <w:rFonts w:ascii="Calibri" w:hAnsi="Calibri" w:cs="Arial"/>
          <w:color w:val="auto"/>
          <w:szCs w:val="24"/>
        </w:rPr>
        <w:t>l’esecuzione dei lavori ad esse affidati.</w:t>
      </w:r>
      <w:r w:rsidR="008B26B6">
        <w:rPr>
          <w:rFonts w:ascii="Calibri" w:hAnsi="Calibri" w:cs="Arial"/>
          <w:color w:val="auto"/>
          <w:szCs w:val="24"/>
        </w:rPr>
        <w:t xml:space="preserve"> Tale interpretazione </w:t>
      </w:r>
      <w:r w:rsidR="00061D38" w:rsidRPr="009C773E">
        <w:rPr>
          <w:rFonts w:ascii="Calibri" w:hAnsi="Calibri" w:cs="Arial"/>
          <w:color w:val="auto"/>
          <w:szCs w:val="24"/>
        </w:rPr>
        <w:t>è</w:t>
      </w:r>
      <w:r w:rsidR="008B26B6">
        <w:rPr>
          <w:rFonts w:ascii="Calibri" w:hAnsi="Calibri" w:cs="Arial"/>
          <w:color w:val="auto"/>
          <w:szCs w:val="24"/>
        </w:rPr>
        <w:t xml:space="preserve">, altresì, </w:t>
      </w:r>
      <w:r w:rsidR="00B15CDC">
        <w:rPr>
          <w:rFonts w:ascii="Calibri" w:hAnsi="Calibri" w:cs="Arial"/>
          <w:color w:val="auto"/>
          <w:szCs w:val="24"/>
        </w:rPr>
        <w:t>sorretta</w:t>
      </w:r>
      <w:r w:rsidR="008B26B6" w:rsidRPr="009C773E">
        <w:rPr>
          <w:rFonts w:ascii="Calibri" w:hAnsi="Calibri" w:cs="Arial"/>
          <w:color w:val="auto"/>
          <w:szCs w:val="24"/>
        </w:rPr>
        <w:t xml:space="preserve"> </w:t>
      </w:r>
      <w:r w:rsidR="00061D38" w:rsidRPr="009C773E">
        <w:rPr>
          <w:rFonts w:ascii="Calibri" w:hAnsi="Calibri" w:cs="Arial"/>
          <w:color w:val="auto"/>
          <w:szCs w:val="24"/>
        </w:rPr>
        <w:t xml:space="preserve">dal </w:t>
      </w:r>
      <w:r w:rsidR="00B15CDC">
        <w:rPr>
          <w:rFonts w:ascii="Calibri" w:hAnsi="Calibri" w:cs="Arial"/>
          <w:color w:val="auto"/>
          <w:szCs w:val="24"/>
        </w:rPr>
        <w:t>successivo</w:t>
      </w:r>
      <w:r w:rsidR="00B15CDC" w:rsidRPr="009C773E">
        <w:rPr>
          <w:rFonts w:ascii="Calibri" w:hAnsi="Calibri" w:cs="Arial"/>
          <w:color w:val="auto"/>
          <w:szCs w:val="24"/>
        </w:rPr>
        <w:t xml:space="preserve"> </w:t>
      </w:r>
      <w:r w:rsidR="00061D38">
        <w:rPr>
          <w:rFonts w:ascii="Calibri" w:hAnsi="Calibri" w:cs="Arial"/>
          <w:color w:val="auto"/>
          <w:szCs w:val="24"/>
        </w:rPr>
        <w:t>comma</w:t>
      </w:r>
      <w:r w:rsidR="00061D38" w:rsidRPr="009C773E">
        <w:rPr>
          <w:rFonts w:ascii="Calibri" w:hAnsi="Calibri" w:cs="Arial"/>
          <w:color w:val="auto"/>
          <w:szCs w:val="24"/>
        </w:rPr>
        <w:t xml:space="preserve"> 4 </w:t>
      </w:r>
      <w:r w:rsidR="008B26B6" w:rsidRPr="009C773E">
        <w:rPr>
          <w:rFonts w:ascii="Calibri" w:hAnsi="Calibri" w:cs="Arial"/>
          <w:color w:val="auto"/>
          <w:szCs w:val="24"/>
        </w:rPr>
        <w:t>dell</w:t>
      </w:r>
      <w:r w:rsidR="008B26B6">
        <w:rPr>
          <w:rFonts w:ascii="Calibri" w:hAnsi="Calibri" w:cs="Arial"/>
          <w:color w:val="auto"/>
          <w:szCs w:val="24"/>
        </w:rPr>
        <w:t xml:space="preserve">o stesso </w:t>
      </w:r>
      <w:r w:rsidR="008B26B6" w:rsidRPr="009C773E">
        <w:rPr>
          <w:rFonts w:ascii="Calibri" w:hAnsi="Calibri" w:cs="Arial"/>
          <w:color w:val="auto"/>
          <w:szCs w:val="24"/>
        </w:rPr>
        <w:t xml:space="preserve"> </w:t>
      </w:r>
      <w:r w:rsidR="00061D38" w:rsidRPr="009C773E">
        <w:rPr>
          <w:rFonts w:ascii="Calibri" w:hAnsi="Calibri" w:cs="Arial"/>
          <w:color w:val="auto"/>
          <w:szCs w:val="24"/>
        </w:rPr>
        <w:t>art</w:t>
      </w:r>
      <w:r w:rsidR="008B26B6">
        <w:rPr>
          <w:rFonts w:ascii="Calibri" w:hAnsi="Calibri" w:cs="Arial"/>
          <w:color w:val="auto"/>
          <w:szCs w:val="24"/>
        </w:rPr>
        <w:t>icolo</w:t>
      </w:r>
      <w:r w:rsidR="00061D38" w:rsidRPr="009C773E">
        <w:rPr>
          <w:rFonts w:ascii="Calibri" w:hAnsi="Calibri" w:cs="Arial"/>
          <w:color w:val="auto"/>
          <w:szCs w:val="24"/>
        </w:rPr>
        <w:t xml:space="preserve"> 27, </w:t>
      </w:r>
      <w:r w:rsidR="008B26B6">
        <w:rPr>
          <w:rFonts w:ascii="Calibri" w:hAnsi="Calibri" w:cs="Arial"/>
          <w:color w:val="auto"/>
          <w:szCs w:val="24"/>
        </w:rPr>
        <w:t>logicamente connesso alla citata lettera t) del comma 2</w:t>
      </w:r>
      <w:r w:rsidR="00061D38">
        <w:rPr>
          <w:rFonts w:ascii="Calibri" w:hAnsi="Calibri" w:cs="Arial"/>
          <w:color w:val="auto"/>
          <w:szCs w:val="24"/>
        </w:rPr>
        <w:t xml:space="preserve">, laddove </w:t>
      </w:r>
      <w:r w:rsidR="00061D38" w:rsidRPr="009C773E">
        <w:rPr>
          <w:rFonts w:ascii="Calibri" w:hAnsi="Calibri" w:cs="Arial"/>
          <w:color w:val="auto"/>
          <w:szCs w:val="24"/>
        </w:rPr>
        <w:t>p</w:t>
      </w:r>
      <w:r w:rsidR="00061D38">
        <w:rPr>
          <w:rFonts w:ascii="Calibri" w:hAnsi="Calibri" w:cs="Arial"/>
          <w:color w:val="auto"/>
          <w:szCs w:val="24"/>
        </w:rPr>
        <w:t>r</w:t>
      </w:r>
      <w:r w:rsidR="00061D38" w:rsidRPr="009C773E">
        <w:rPr>
          <w:rFonts w:ascii="Calibri" w:hAnsi="Calibri" w:cs="Arial"/>
          <w:color w:val="auto"/>
          <w:szCs w:val="24"/>
        </w:rPr>
        <w:t>escrive che “</w:t>
      </w:r>
      <w:r w:rsidR="002A00A5" w:rsidRPr="002A00A5">
        <w:rPr>
          <w:rFonts w:ascii="Calibri" w:hAnsi="Calibri" w:cs="Arial"/>
          <w:i/>
          <w:color w:val="auto"/>
          <w:szCs w:val="24"/>
        </w:rPr>
        <w:t>le stazioni appaltanti inviano alla fine dei lavori una relazione dettagliata sul comportamento dell’impresa esecutrice</w:t>
      </w:r>
      <w:r w:rsidR="00061D38" w:rsidRPr="009C773E">
        <w:rPr>
          <w:rFonts w:ascii="Calibri" w:hAnsi="Calibri" w:cs="Arial"/>
          <w:color w:val="auto"/>
          <w:szCs w:val="24"/>
        </w:rPr>
        <w:t>”</w:t>
      </w:r>
      <w:r w:rsidR="008B26B6">
        <w:rPr>
          <w:rFonts w:ascii="Calibri" w:hAnsi="Calibri" w:cs="Arial"/>
          <w:color w:val="auto"/>
          <w:szCs w:val="24"/>
        </w:rPr>
        <w:t>,</w:t>
      </w:r>
      <w:r w:rsidR="00061D38" w:rsidRPr="009C773E">
        <w:rPr>
          <w:rFonts w:ascii="Calibri" w:hAnsi="Calibri" w:cs="Arial"/>
          <w:color w:val="auto"/>
          <w:szCs w:val="24"/>
        </w:rPr>
        <w:t xml:space="preserve"> secondo lo schema e le informazioni richieste </w:t>
      </w:r>
      <w:r w:rsidR="00061D38">
        <w:rPr>
          <w:rFonts w:ascii="Calibri" w:hAnsi="Calibri" w:cs="Arial"/>
          <w:color w:val="auto"/>
          <w:szCs w:val="24"/>
        </w:rPr>
        <w:t>d</w:t>
      </w:r>
      <w:r w:rsidR="00061D38" w:rsidRPr="009C773E">
        <w:rPr>
          <w:rFonts w:ascii="Calibri" w:hAnsi="Calibri" w:cs="Arial"/>
          <w:color w:val="auto"/>
          <w:szCs w:val="24"/>
        </w:rPr>
        <w:t>all’Autorità.</w:t>
      </w:r>
    </w:p>
    <w:p w:rsidR="00061D38" w:rsidRDefault="008B26B6" w:rsidP="00DA02FC">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In merito, i</w:t>
      </w:r>
      <w:r w:rsidRPr="009C773E">
        <w:rPr>
          <w:rFonts w:ascii="Calibri" w:hAnsi="Calibri" w:cs="Arial"/>
          <w:color w:val="auto"/>
          <w:szCs w:val="24"/>
        </w:rPr>
        <w:t xml:space="preserve">l </w:t>
      </w:r>
      <w:r w:rsidR="00061D38" w:rsidRPr="009C773E">
        <w:rPr>
          <w:rFonts w:ascii="Calibri" w:hAnsi="Calibri" w:cs="Arial"/>
          <w:color w:val="auto"/>
          <w:szCs w:val="24"/>
        </w:rPr>
        <w:t>Consiglio di Stato ha efficacemente osservato (</w:t>
      </w:r>
      <w:r>
        <w:rPr>
          <w:rFonts w:ascii="Calibri" w:hAnsi="Calibri" w:cs="Arial"/>
          <w:color w:val="auto"/>
          <w:szCs w:val="24"/>
        </w:rPr>
        <w:t>sentenza</w:t>
      </w:r>
      <w:r w:rsidRPr="009C773E">
        <w:rPr>
          <w:rFonts w:ascii="Calibri" w:hAnsi="Calibri" w:cs="Arial"/>
          <w:color w:val="auto"/>
          <w:szCs w:val="24"/>
        </w:rPr>
        <w:t xml:space="preserve"> </w:t>
      </w:r>
      <w:r w:rsidR="00061D38" w:rsidRPr="009C773E">
        <w:rPr>
          <w:rFonts w:ascii="Calibri" w:hAnsi="Calibri" w:cs="Arial"/>
          <w:color w:val="auto"/>
          <w:szCs w:val="24"/>
        </w:rPr>
        <w:t xml:space="preserve">n. 5792 del 7.9.2004 – Sez. IV) </w:t>
      </w:r>
      <w:r>
        <w:rPr>
          <w:rFonts w:ascii="Calibri" w:hAnsi="Calibri" w:cs="Arial"/>
          <w:color w:val="auto"/>
          <w:szCs w:val="24"/>
        </w:rPr>
        <w:t>che,</w:t>
      </w:r>
      <w:r w:rsidR="00061D38" w:rsidRPr="009C773E">
        <w:rPr>
          <w:rFonts w:ascii="Calibri" w:hAnsi="Calibri" w:cs="Arial"/>
          <w:color w:val="auto"/>
          <w:szCs w:val="24"/>
        </w:rPr>
        <w:t xml:space="preserve"> alla lettera t)</w:t>
      </w:r>
      <w:r>
        <w:rPr>
          <w:rFonts w:ascii="Calibri" w:hAnsi="Calibri" w:cs="Arial"/>
          <w:color w:val="auto"/>
          <w:szCs w:val="24"/>
        </w:rPr>
        <w:t>, deve attribuirsi</w:t>
      </w:r>
      <w:r w:rsidR="00061D38" w:rsidRPr="009C773E">
        <w:rPr>
          <w:rFonts w:ascii="Calibri" w:hAnsi="Calibri" w:cs="Arial"/>
          <w:color w:val="auto"/>
          <w:szCs w:val="24"/>
        </w:rPr>
        <w:t xml:space="preserve"> “</w:t>
      </w:r>
      <w:r w:rsidR="002A00A5" w:rsidRPr="002A00A5">
        <w:rPr>
          <w:rFonts w:ascii="Calibri" w:hAnsi="Calibri" w:cs="Arial"/>
          <w:i/>
          <w:color w:val="auto"/>
          <w:szCs w:val="24"/>
        </w:rPr>
        <w:t>un significato che, per un verso, ne consenta un’utile applicazione e che, per un altro, non estenda irragionevolmente il novero delle notizie annotabili nel casellario. Il criterio lo offre la stessa previsione, là dove riserva all’Osservatorio la valutazione circa l’utilità, ai fini della tenuta el Casellario, delle notizie da annotare. Occorre quindi verificare se l’app</w:t>
      </w:r>
      <w:r w:rsidR="001F30D4">
        <w:rPr>
          <w:rFonts w:ascii="Calibri" w:hAnsi="Calibri" w:cs="Arial"/>
          <w:i/>
          <w:color w:val="auto"/>
          <w:szCs w:val="24"/>
        </w:rPr>
        <w:t>rezzamento dell’utilità dell’isc</w:t>
      </w:r>
      <w:r w:rsidR="002A00A5" w:rsidRPr="002A00A5">
        <w:rPr>
          <w:rFonts w:ascii="Calibri" w:hAnsi="Calibri" w:cs="Arial"/>
          <w:i/>
          <w:color w:val="auto"/>
          <w:szCs w:val="24"/>
        </w:rPr>
        <w:t>r</w:t>
      </w:r>
      <w:r w:rsidR="001F30D4">
        <w:rPr>
          <w:rFonts w:ascii="Calibri" w:hAnsi="Calibri" w:cs="Arial"/>
          <w:i/>
          <w:color w:val="auto"/>
          <w:szCs w:val="24"/>
        </w:rPr>
        <w:t>i</w:t>
      </w:r>
      <w:r w:rsidR="002A00A5" w:rsidRPr="002A00A5">
        <w:rPr>
          <w:rFonts w:ascii="Calibri" w:hAnsi="Calibri" w:cs="Arial"/>
          <w:i/>
          <w:color w:val="auto"/>
          <w:szCs w:val="24"/>
        </w:rPr>
        <w:t>zione (…) meriti condivisione ovvero se risulti illogico e privo di fondamento</w:t>
      </w:r>
      <w:r w:rsidR="00061D38" w:rsidRPr="009C773E">
        <w:rPr>
          <w:rFonts w:ascii="Calibri" w:hAnsi="Calibri" w:cs="Arial"/>
          <w:color w:val="auto"/>
          <w:szCs w:val="24"/>
        </w:rPr>
        <w:t>”.</w:t>
      </w:r>
    </w:p>
    <w:p w:rsidR="007B10E0" w:rsidRPr="009C773E" w:rsidRDefault="007B10E0" w:rsidP="00DA02FC">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Da quanto sopra esposto emerge in modo chiaro la rilevanza dell’utilizzo della Relazione Dettagliata sul Comportamento delle Imprese ai fini della costruzione di un sistema reputazionale.</w:t>
      </w:r>
    </w:p>
    <w:p w:rsidR="00B15CDC" w:rsidRPr="00556D2B" w:rsidRDefault="00B15CDC" w:rsidP="00061D38">
      <w:pPr>
        <w:spacing w:line="360" w:lineRule="auto"/>
        <w:jc w:val="both"/>
        <w:rPr>
          <w:rFonts w:ascii="Calibri" w:hAnsi="Calibri" w:cs="Arial"/>
          <w:b/>
          <w:color w:val="auto"/>
          <w:szCs w:val="24"/>
        </w:rPr>
      </w:pPr>
    </w:p>
    <w:p w:rsidR="00061D38" w:rsidRPr="00326C51" w:rsidRDefault="00061D38" w:rsidP="00061D38">
      <w:pPr>
        <w:pStyle w:val="Paragrafoelenco"/>
        <w:numPr>
          <w:ilvl w:val="0"/>
          <w:numId w:val="7"/>
        </w:numPr>
        <w:spacing w:line="360" w:lineRule="auto"/>
        <w:jc w:val="both"/>
        <w:rPr>
          <w:rFonts w:ascii="Calibri" w:hAnsi="Calibri" w:cs="Arial"/>
          <w:b/>
          <w:color w:val="auto"/>
          <w:szCs w:val="24"/>
        </w:rPr>
      </w:pPr>
      <w:r w:rsidRPr="006B376A">
        <w:rPr>
          <w:rFonts w:ascii="Calibri" w:hAnsi="Calibri" w:cs="Arial"/>
          <w:b/>
          <w:color w:val="auto"/>
          <w:szCs w:val="24"/>
        </w:rPr>
        <w:t>Criteri reputazionali nei servizi e forniture</w:t>
      </w:r>
    </w:p>
    <w:p w:rsidR="00A546DE" w:rsidRDefault="00061D38">
      <w:pPr>
        <w:pStyle w:val="Corpodeltesto"/>
        <w:tabs>
          <w:tab w:val="left" w:pos="426"/>
        </w:tabs>
        <w:spacing w:line="360" w:lineRule="auto"/>
        <w:ind w:left="426" w:right="567"/>
        <w:jc w:val="both"/>
        <w:rPr>
          <w:rFonts w:ascii="Calibri" w:hAnsi="Calibri" w:cs="Arial"/>
          <w:b/>
          <w:i/>
          <w:color w:val="auto"/>
          <w:szCs w:val="24"/>
        </w:rPr>
      </w:pPr>
      <w:r>
        <w:rPr>
          <w:rFonts w:ascii="Calibri" w:hAnsi="Calibri" w:cs="Arial"/>
          <w:color w:val="auto"/>
          <w:szCs w:val="24"/>
        </w:rPr>
        <w:t>Nell’ambito della tenuta del Casellario per il settore dei servizi e forniture, con la Determina n.1 del 1/10/2008</w:t>
      </w:r>
      <w:r w:rsidR="00C145CE">
        <w:rPr>
          <w:rFonts w:ascii="Calibri" w:hAnsi="Calibri" w:cs="Arial"/>
          <w:color w:val="auto"/>
          <w:szCs w:val="24"/>
        </w:rPr>
        <w:t>,</w:t>
      </w:r>
      <w:r>
        <w:rPr>
          <w:rFonts w:ascii="Calibri" w:hAnsi="Calibri" w:cs="Arial"/>
          <w:color w:val="auto"/>
          <w:szCs w:val="24"/>
        </w:rPr>
        <w:t xml:space="preserve"> l’Autorità ha predisposto le schede per la segnalazione da parte delle stazioni appaltanti (Allegati A, B e C), prevedendo anche l’</w:t>
      </w:r>
      <w:r w:rsidRPr="00B15580">
        <w:rPr>
          <w:rFonts w:ascii="Calibri" w:hAnsi="Calibri" w:cs="Calibri"/>
          <w:color w:val="auto"/>
          <w:szCs w:val="24"/>
        </w:rPr>
        <w:t xml:space="preserve">inserimento </w:t>
      </w:r>
      <w:r>
        <w:rPr>
          <w:rFonts w:ascii="Calibri" w:hAnsi="Calibri" w:cs="Calibri"/>
          <w:color w:val="auto"/>
          <w:szCs w:val="24"/>
        </w:rPr>
        <w:t xml:space="preserve">di </w:t>
      </w:r>
      <w:r w:rsidRPr="00B15580">
        <w:rPr>
          <w:rFonts w:ascii="Calibri" w:hAnsi="Calibri" w:cs="Calibri"/>
          <w:i/>
          <w:color w:val="auto"/>
          <w:szCs w:val="24"/>
        </w:rPr>
        <w:t>altre notizie riguardanti gli operatori economici, che sono dall'Osservatorio ritenute utili ai fini della tenuta del Casellario, tra cui</w:t>
      </w:r>
      <w:r w:rsidRPr="00B15580">
        <w:rPr>
          <w:rFonts w:ascii="Calibri" w:hAnsi="Calibri" w:cs="Arial"/>
          <w:i/>
          <w:color w:val="auto"/>
          <w:szCs w:val="24"/>
        </w:rPr>
        <w:t xml:space="preserve"> tutte le violazioni in materia di sicurezza e ogni altro obbligo derivante dai rapporti di lavoro di cui l’Osservatorio venga a conoscenza anche indipendentemente dalla gravità della violazione e dal soggetto od organismo, istituzionalmente deputati alla relativa attività di vigilanza, che la comunicano.</w:t>
      </w:r>
      <w:r w:rsidRPr="00B15580">
        <w:rPr>
          <w:rFonts w:ascii="Calibri" w:hAnsi="Calibri" w:cs="Arial"/>
          <w:b/>
          <w:i/>
          <w:color w:val="auto"/>
          <w:szCs w:val="24"/>
        </w:rPr>
        <w:t xml:space="preserve"> </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Tale possibilità è anche prevista all’art</w:t>
      </w:r>
      <w:r w:rsidR="00C145CE">
        <w:rPr>
          <w:rFonts w:ascii="Calibri" w:hAnsi="Calibri" w:cs="Arial"/>
          <w:color w:val="auto"/>
          <w:szCs w:val="24"/>
        </w:rPr>
        <w:t xml:space="preserve">icolo </w:t>
      </w:r>
      <w:r>
        <w:rPr>
          <w:rFonts w:ascii="Calibri" w:hAnsi="Calibri" w:cs="Arial"/>
          <w:color w:val="auto"/>
          <w:szCs w:val="24"/>
        </w:rPr>
        <w:t>8 comma 4, ultimo capoverso, dell’attuale schema di Regolamento</w:t>
      </w:r>
      <w:r w:rsidR="00974E1F">
        <w:rPr>
          <w:rFonts w:ascii="Calibri" w:hAnsi="Calibri" w:cs="Arial"/>
          <w:color w:val="auto"/>
          <w:szCs w:val="24"/>
        </w:rPr>
        <w:t xml:space="preserve"> attuativo</w:t>
      </w:r>
      <w:r>
        <w:rPr>
          <w:rFonts w:ascii="Calibri" w:hAnsi="Calibri" w:cs="Arial"/>
          <w:color w:val="auto"/>
          <w:szCs w:val="24"/>
        </w:rPr>
        <w:t>.</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lastRenderedPageBreak/>
        <w:t xml:space="preserve">In particolare, l’Allegato B della Determina </w:t>
      </w:r>
      <w:r w:rsidR="00974E1F">
        <w:rPr>
          <w:rFonts w:ascii="Calibri" w:hAnsi="Calibri" w:cs="Arial"/>
          <w:color w:val="auto"/>
          <w:szCs w:val="24"/>
        </w:rPr>
        <w:t>citata</w:t>
      </w:r>
      <w:r>
        <w:rPr>
          <w:rFonts w:ascii="Calibri" w:hAnsi="Calibri" w:cs="Arial"/>
          <w:color w:val="auto"/>
          <w:szCs w:val="24"/>
        </w:rPr>
        <w:t xml:space="preserve"> </w:t>
      </w:r>
      <w:r w:rsidR="00974E1F">
        <w:rPr>
          <w:rFonts w:ascii="Calibri" w:hAnsi="Calibri" w:cs="Arial"/>
          <w:color w:val="auto"/>
          <w:szCs w:val="24"/>
        </w:rPr>
        <w:t>si riferisce</w:t>
      </w:r>
      <w:r>
        <w:rPr>
          <w:rFonts w:ascii="Calibri" w:hAnsi="Calibri" w:cs="Arial"/>
          <w:color w:val="auto"/>
          <w:szCs w:val="24"/>
        </w:rPr>
        <w:t xml:space="preserve"> a fatti </w:t>
      </w:r>
      <w:r w:rsidRPr="00FA61A7">
        <w:rPr>
          <w:rFonts w:ascii="Calibri" w:hAnsi="Calibri" w:cs="Arial"/>
          <w:color w:val="auto"/>
          <w:szCs w:val="24"/>
        </w:rPr>
        <w:t>riguardanti la fase di esecuzione dei contratti di servizi e forniture, da annotare nel Casellario</w:t>
      </w:r>
      <w:r>
        <w:rPr>
          <w:rFonts w:ascii="Calibri" w:hAnsi="Calibri" w:cs="Arial"/>
          <w:color w:val="auto"/>
          <w:szCs w:val="24"/>
        </w:rPr>
        <w:t>. Il punto 6 individua</w:t>
      </w:r>
      <w:r w:rsidR="00974E1F">
        <w:rPr>
          <w:rFonts w:ascii="Calibri" w:hAnsi="Calibri" w:cs="Arial"/>
          <w:color w:val="auto"/>
          <w:szCs w:val="24"/>
        </w:rPr>
        <w:t>, inoltre,</w:t>
      </w:r>
      <w:r>
        <w:rPr>
          <w:rFonts w:ascii="Calibri" w:hAnsi="Calibri" w:cs="Arial"/>
          <w:color w:val="auto"/>
          <w:szCs w:val="24"/>
        </w:rPr>
        <w:t xml:space="preserve"> alcune </w:t>
      </w:r>
      <w:r w:rsidR="004E6F32">
        <w:rPr>
          <w:rFonts w:ascii="Calibri" w:hAnsi="Calibri" w:cs="Arial"/>
          <w:color w:val="auto"/>
          <w:szCs w:val="24"/>
        </w:rPr>
        <w:t xml:space="preserve">informazioni </w:t>
      </w:r>
      <w:r>
        <w:rPr>
          <w:rFonts w:ascii="Calibri" w:hAnsi="Calibri" w:cs="Arial"/>
          <w:color w:val="auto"/>
          <w:szCs w:val="24"/>
        </w:rPr>
        <w:t xml:space="preserve">relative alla </w:t>
      </w:r>
      <w:r w:rsidR="004E6F32">
        <w:rPr>
          <w:rFonts w:ascii="Calibri" w:hAnsi="Calibri" w:cs="Arial"/>
          <w:color w:val="auto"/>
          <w:szCs w:val="24"/>
        </w:rPr>
        <w:t xml:space="preserve">fase di </w:t>
      </w:r>
      <w:r>
        <w:rPr>
          <w:rFonts w:ascii="Calibri" w:hAnsi="Calibri" w:cs="Arial"/>
          <w:color w:val="auto"/>
          <w:szCs w:val="24"/>
        </w:rPr>
        <w:t>esecuzione delle prestazioni, come</w:t>
      </w:r>
      <w:r w:rsidR="00974E1F">
        <w:rPr>
          <w:rFonts w:ascii="Calibri" w:hAnsi="Calibri" w:cs="Arial"/>
          <w:color w:val="auto"/>
          <w:szCs w:val="24"/>
        </w:rPr>
        <w:t>,</w:t>
      </w:r>
      <w:r>
        <w:rPr>
          <w:rFonts w:ascii="Calibri" w:hAnsi="Calibri" w:cs="Arial"/>
          <w:color w:val="auto"/>
          <w:szCs w:val="24"/>
        </w:rPr>
        <w:t xml:space="preserve"> ad esempio</w:t>
      </w:r>
      <w:r w:rsidR="00974E1F">
        <w:rPr>
          <w:rFonts w:ascii="Calibri" w:hAnsi="Calibri" w:cs="Arial"/>
          <w:color w:val="auto"/>
          <w:szCs w:val="24"/>
        </w:rPr>
        <w:t>,</w:t>
      </w:r>
      <w:r>
        <w:rPr>
          <w:rFonts w:ascii="Calibri" w:hAnsi="Calibri" w:cs="Arial"/>
          <w:color w:val="auto"/>
          <w:szCs w:val="24"/>
        </w:rPr>
        <w:t xml:space="preserve"> la mancata stipula del contratto, la risoluzione del contratto o l</w:t>
      </w:r>
      <w:r w:rsidR="00974E1F">
        <w:rPr>
          <w:rFonts w:ascii="Calibri" w:hAnsi="Calibri" w:cs="Arial"/>
          <w:color w:val="auto"/>
          <w:szCs w:val="24"/>
        </w:rPr>
        <w:t xml:space="preserve">’esito negativo della verifica di </w:t>
      </w:r>
      <w:r>
        <w:rPr>
          <w:rFonts w:ascii="Calibri" w:hAnsi="Calibri" w:cs="Arial"/>
          <w:color w:val="auto"/>
          <w:szCs w:val="24"/>
        </w:rPr>
        <w:t>conformità tecnica.</w:t>
      </w:r>
    </w:p>
    <w:p w:rsidR="00A546DE" w:rsidRDefault="00F92CC1">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Valorizzando il sistema già in essere, u</w:t>
      </w:r>
      <w:r w:rsidR="00061D38">
        <w:rPr>
          <w:rFonts w:ascii="Calibri" w:hAnsi="Calibri" w:cs="Arial"/>
          <w:color w:val="auto"/>
          <w:szCs w:val="24"/>
        </w:rPr>
        <w:t xml:space="preserve">na </w:t>
      </w:r>
      <w:r>
        <w:rPr>
          <w:rFonts w:ascii="Calibri" w:hAnsi="Calibri" w:cs="Arial"/>
          <w:color w:val="auto"/>
          <w:szCs w:val="24"/>
        </w:rPr>
        <w:t xml:space="preserve">opzione </w:t>
      </w:r>
      <w:r w:rsidR="00061D38">
        <w:rPr>
          <w:rFonts w:ascii="Calibri" w:hAnsi="Calibri" w:cs="Arial"/>
          <w:color w:val="auto"/>
          <w:szCs w:val="24"/>
        </w:rPr>
        <w:t xml:space="preserve">per pervenire alla costruzione di indicatori reputazionali potrebbe consistere nell’arricchimento delle informazioni </w:t>
      </w:r>
      <w:r>
        <w:rPr>
          <w:rFonts w:ascii="Calibri" w:hAnsi="Calibri" w:cs="Arial"/>
          <w:color w:val="auto"/>
          <w:szCs w:val="24"/>
        </w:rPr>
        <w:t xml:space="preserve">contenute </w:t>
      </w:r>
      <w:r w:rsidR="00061D38">
        <w:rPr>
          <w:rFonts w:ascii="Calibri" w:hAnsi="Calibri" w:cs="Arial"/>
          <w:color w:val="auto"/>
          <w:szCs w:val="24"/>
        </w:rPr>
        <w:t>nell’Allegato B, tenute ben distinte da quelle che costituiscono causa di esclusione.</w:t>
      </w:r>
      <w:r w:rsidR="001F30D4">
        <w:rPr>
          <w:rFonts w:ascii="Calibri" w:hAnsi="Calibri" w:cs="Arial"/>
          <w:color w:val="auto"/>
          <w:szCs w:val="24"/>
        </w:rPr>
        <w:t xml:space="preserve"> </w:t>
      </w:r>
      <w:r>
        <w:rPr>
          <w:rFonts w:ascii="Calibri" w:hAnsi="Calibri" w:cs="Arial"/>
          <w:color w:val="auto"/>
          <w:szCs w:val="24"/>
        </w:rPr>
        <w:t xml:space="preserve">A tal fine l’elemento di maggior criticità sembra essere </w:t>
      </w:r>
      <w:r w:rsidR="002A00A5" w:rsidRPr="002A00A5">
        <w:rPr>
          <w:rFonts w:ascii="Calibri" w:hAnsi="Calibri" w:cs="Arial"/>
          <w:color w:val="auto"/>
          <w:szCs w:val="24"/>
        </w:rPr>
        <w:t xml:space="preserve">l’identificazione di elementi comuni </w:t>
      </w:r>
      <w:r w:rsidR="007B10E0">
        <w:rPr>
          <w:rFonts w:ascii="Calibri" w:hAnsi="Calibri" w:cs="Arial"/>
          <w:color w:val="auto"/>
          <w:szCs w:val="24"/>
        </w:rPr>
        <w:t>ed omo</w:t>
      </w:r>
      <w:r>
        <w:rPr>
          <w:rFonts w:ascii="Calibri" w:hAnsi="Calibri" w:cs="Arial"/>
          <w:color w:val="auto"/>
          <w:szCs w:val="24"/>
        </w:rPr>
        <w:t xml:space="preserve">genei alla base degli indicatori, principalmente a motivo della </w:t>
      </w:r>
      <w:r w:rsidR="002A00A5" w:rsidRPr="002A00A5">
        <w:rPr>
          <w:rFonts w:ascii="Calibri" w:hAnsi="Calibri" w:cs="Arial"/>
          <w:color w:val="auto"/>
          <w:szCs w:val="24"/>
        </w:rPr>
        <w:t xml:space="preserve">eterogeneità </w:t>
      </w:r>
      <w:r>
        <w:rPr>
          <w:rFonts w:ascii="Calibri" w:hAnsi="Calibri" w:cs="Arial"/>
          <w:color w:val="auto"/>
          <w:szCs w:val="24"/>
        </w:rPr>
        <w:t>delle prestazioni (</w:t>
      </w:r>
      <w:r w:rsidR="002A00A5" w:rsidRPr="002A00A5">
        <w:rPr>
          <w:rFonts w:ascii="Calibri" w:hAnsi="Calibri" w:cs="Arial"/>
          <w:color w:val="auto"/>
          <w:szCs w:val="24"/>
        </w:rPr>
        <w:t>sia tra servizi e forniture sia all’interno dei due settori</w:t>
      </w:r>
      <w:r>
        <w:rPr>
          <w:rFonts w:ascii="Calibri" w:hAnsi="Calibri" w:cs="Arial"/>
          <w:color w:val="auto"/>
          <w:szCs w:val="24"/>
        </w:rPr>
        <w:t>)</w:t>
      </w:r>
      <w:r w:rsidR="002A00A5" w:rsidRPr="002A00A5">
        <w:rPr>
          <w:rFonts w:ascii="Calibri" w:hAnsi="Calibri" w:cs="Arial"/>
          <w:color w:val="auto"/>
          <w:szCs w:val="24"/>
        </w:rPr>
        <w:t xml:space="preserve">. </w:t>
      </w:r>
    </w:p>
    <w:p w:rsidR="00A546DE" w:rsidRDefault="002A00A5">
      <w:pPr>
        <w:pStyle w:val="Corpodeltesto"/>
        <w:tabs>
          <w:tab w:val="left" w:pos="426"/>
        </w:tabs>
        <w:spacing w:line="360" w:lineRule="auto"/>
        <w:ind w:left="426" w:right="567"/>
        <w:jc w:val="both"/>
        <w:rPr>
          <w:rFonts w:ascii="Calibri" w:hAnsi="Calibri" w:cs="Arial"/>
          <w:color w:val="auto"/>
          <w:szCs w:val="24"/>
        </w:rPr>
      </w:pPr>
      <w:r w:rsidRPr="002A00A5">
        <w:rPr>
          <w:rFonts w:ascii="Calibri" w:hAnsi="Calibri" w:cs="Arial"/>
          <w:color w:val="auto"/>
          <w:szCs w:val="24"/>
        </w:rPr>
        <w:t>Ad una prima analisi, potrebbe</w:t>
      </w:r>
      <w:r w:rsidR="00F92CC1">
        <w:rPr>
          <w:rFonts w:ascii="Calibri" w:hAnsi="Calibri" w:cs="Arial"/>
          <w:color w:val="auto"/>
          <w:szCs w:val="24"/>
        </w:rPr>
        <w:t>r</w:t>
      </w:r>
      <w:r w:rsidRPr="002A00A5">
        <w:rPr>
          <w:rFonts w:ascii="Calibri" w:hAnsi="Calibri" w:cs="Arial"/>
          <w:color w:val="auto"/>
          <w:szCs w:val="24"/>
        </w:rPr>
        <w:t xml:space="preserve">o essere presi in considerazione </w:t>
      </w:r>
      <w:r w:rsidR="00F92CC1">
        <w:rPr>
          <w:rFonts w:ascii="Calibri" w:hAnsi="Calibri" w:cs="Arial"/>
          <w:color w:val="auto"/>
          <w:szCs w:val="24"/>
        </w:rPr>
        <w:t>i seguenti elementi</w:t>
      </w:r>
      <w:r w:rsidRPr="002A00A5">
        <w:rPr>
          <w:rFonts w:ascii="Calibri" w:hAnsi="Calibri" w:cs="Arial"/>
          <w:color w:val="auto"/>
          <w:szCs w:val="24"/>
        </w:rPr>
        <w:t>:</w:t>
      </w:r>
    </w:p>
    <w:p w:rsidR="00A546DE" w:rsidRDefault="00061D38">
      <w:pPr>
        <w:pStyle w:val="Corpodeltesto"/>
        <w:numPr>
          <w:ilvl w:val="0"/>
          <w:numId w:val="19"/>
        </w:numPr>
        <w:tabs>
          <w:tab w:val="left" w:pos="426"/>
        </w:tabs>
        <w:spacing w:line="360" w:lineRule="auto"/>
        <w:ind w:right="567"/>
        <w:jc w:val="both"/>
        <w:rPr>
          <w:rFonts w:ascii="Calibri" w:hAnsi="Calibri" w:cs="Arial"/>
          <w:color w:val="auto"/>
          <w:szCs w:val="24"/>
        </w:rPr>
      </w:pPr>
      <w:r w:rsidRPr="00C66C04">
        <w:rPr>
          <w:rFonts w:ascii="Calibri" w:hAnsi="Calibri" w:cs="Arial"/>
          <w:color w:val="auto"/>
          <w:szCs w:val="24"/>
        </w:rPr>
        <w:t xml:space="preserve">penali </w:t>
      </w:r>
      <w:r>
        <w:rPr>
          <w:rFonts w:ascii="Calibri" w:hAnsi="Calibri" w:cs="Arial"/>
          <w:color w:val="auto"/>
          <w:szCs w:val="24"/>
        </w:rPr>
        <w:t xml:space="preserve">applicate a fronte di inadempimenti contrattuali, ad esempio </w:t>
      </w:r>
      <w:r w:rsidR="00E842A4">
        <w:rPr>
          <w:rFonts w:ascii="Calibri" w:hAnsi="Calibri" w:cs="Arial"/>
          <w:color w:val="auto"/>
          <w:szCs w:val="24"/>
        </w:rPr>
        <w:t xml:space="preserve">in caso di non </w:t>
      </w:r>
      <w:r w:rsidRPr="0058442A">
        <w:rPr>
          <w:rFonts w:ascii="Calibri" w:hAnsi="Calibri" w:cs="Arial"/>
          <w:color w:val="auto"/>
          <w:szCs w:val="24"/>
        </w:rPr>
        <w:t>puntualità nelle consegne di forniture o nello svolgimento dei serviz</w:t>
      </w:r>
      <w:r>
        <w:rPr>
          <w:rFonts w:ascii="Calibri" w:hAnsi="Calibri" w:cs="Arial"/>
          <w:color w:val="auto"/>
          <w:szCs w:val="24"/>
        </w:rPr>
        <w:t>i e</w:t>
      </w:r>
      <w:r w:rsidR="00E842A4">
        <w:rPr>
          <w:rFonts w:ascii="Calibri" w:hAnsi="Calibri" w:cs="Arial"/>
          <w:color w:val="auto"/>
          <w:szCs w:val="24"/>
        </w:rPr>
        <w:t>/o</w:t>
      </w:r>
      <w:r>
        <w:rPr>
          <w:rFonts w:ascii="Calibri" w:hAnsi="Calibri" w:cs="Arial"/>
          <w:color w:val="auto"/>
          <w:szCs w:val="24"/>
        </w:rPr>
        <w:t xml:space="preserve"> di </w:t>
      </w:r>
      <w:r w:rsidRPr="0058442A">
        <w:rPr>
          <w:rFonts w:ascii="Calibri" w:hAnsi="Calibri" w:cs="Arial"/>
          <w:color w:val="auto"/>
          <w:szCs w:val="24"/>
        </w:rPr>
        <w:t>non-conformità tecniche (</w:t>
      </w:r>
      <w:r w:rsidR="00E842A4">
        <w:rPr>
          <w:rFonts w:ascii="Calibri" w:hAnsi="Calibri" w:cs="Arial"/>
          <w:color w:val="auto"/>
          <w:szCs w:val="24"/>
        </w:rPr>
        <w:t xml:space="preserve">le quali, attualmente, </w:t>
      </w:r>
      <w:r w:rsidRPr="0058442A">
        <w:rPr>
          <w:rFonts w:ascii="Calibri" w:hAnsi="Calibri" w:cs="Arial"/>
          <w:color w:val="auto"/>
          <w:szCs w:val="24"/>
        </w:rPr>
        <w:t xml:space="preserve">non rientrano nell’ambito </w:t>
      </w:r>
      <w:r>
        <w:rPr>
          <w:rFonts w:ascii="Calibri" w:hAnsi="Calibri" w:cs="Arial"/>
          <w:color w:val="auto"/>
          <w:szCs w:val="24"/>
        </w:rPr>
        <w:t xml:space="preserve">del punto 6.1.4 dell’Allegato </w:t>
      </w:r>
      <w:r w:rsidRPr="0058442A">
        <w:rPr>
          <w:rFonts w:ascii="Calibri" w:hAnsi="Calibri" w:cs="Arial"/>
          <w:color w:val="auto"/>
          <w:szCs w:val="24"/>
        </w:rPr>
        <w:t>B</w:t>
      </w:r>
      <w:r>
        <w:rPr>
          <w:rFonts w:ascii="Calibri" w:hAnsi="Calibri" w:cs="Arial"/>
          <w:color w:val="auto"/>
          <w:szCs w:val="24"/>
        </w:rPr>
        <w:t xml:space="preserve"> della Determina 1/2008</w:t>
      </w:r>
      <w:r w:rsidRPr="0058442A">
        <w:rPr>
          <w:rFonts w:ascii="Calibri" w:hAnsi="Calibri" w:cs="Arial"/>
          <w:color w:val="auto"/>
          <w:szCs w:val="24"/>
        </w:rPr>
        <w:t>)</w:t>
      </w:r>
      <w:r>
        <w:rPr>
          <w:rFonts w:ascii="Calibri" w:hAnsi="Calibri" w:cs="Arial"/>
          <w:color w:val="auto"/>
          <w:szCs w:val="24"/>
        </w:rPr>
        <w:t>;</w:t>
      </w:r>
    </w:p>
    <w:p w:rsidR="00A546DE" w:rsidRDefault="00061D38">
      <w:pPr>
        <w:pStyle w:val="Corpodeltesto"/>
        <w:numPr>
          <w:ilvl w:val="0"/>
          <w:numId w:val="19"/>
        </w:numPr>
        <w:tabs>
          <w:tab w:val="left" w:pos="426"/>
        </w:tabs>
        <w:spacing w:line="360" w:lineRule="auto"/>
        <w:ind w:right="567"/>
        <w:jc w:val="both"/>
        <w:rPr>
          <w:rFonts w:ascii="Calibri" w:hAnsi="Calibri" w:cs="Arial"/>
          <w:color w:val="auto"/>
          <w:szCs w:val="24"/>
        </w:rPr>
      </w:pPr>
      <w:r w:rsidRPr="00C66C04">
        <w:rPr>
          <w:rFonts w:ascii="Calibri" w:hAnsi="Calibri" w:cs="Arial"/>
          <w:color w:val="auto"/>
          <w:szCs w:val="24"/>
        </w:rPr>
        <w:t>rispetto di leggi e regolamenti nell’esecuzione dell’appalto</w:t>
      </w:r>
      <w:r w:rsidR="00E842A4" w:rsidRPr="00C66C04">
        <w:rPr>
          <w:rFonts w:ascii="Calibri" w:hAnsi="Calibri" w:cs="Arial"/>
          <w:color w:val="auto"/>
          <w:szCs w:val="24"/>
        </w:rPr>
        <w:t>,</w:t>
      </w:r>
      <w:r w:rsidRPr="00C66C04">
        <w:rPr>
          <w:rFonts w:ascii="Calibri" w:hAnsi="Calibri" w:cs="Arial"/>
          <w:color w:val="auto"/>
          <w:szCs w:val="24"/>
        </w:rPr>
        <w:t xml:space="preserve"> con particolare riferimento alle misure di sicurezza</w:t>
      </w:r>
      <w:r w:rsidRPr="00326C51">
        <w:rPr>
          <w:rFonts w:ascii="Calibri" w:hAnsi="Calibri" w:cs="Arial"/>
          <w:color w:val="auto"/>
          <w:szCs w:val="24"/>
        </w:rPr>
        <w:t>;</w:t>
      </w:r>
    </w:p>
    <w:p w:rsidR="00A546DE" w:rsidRPr="001F30D4" w:rsidRDefault="001F30D4">
      <w:pPr>
        <w:pStyle w:val="Corpodeltesto"/>
        <w:numPr>
          <w:ilvl w:val="0"/>
          <w:numId w:val="19"/>
        </w:numPr>
        <w:tabs>
          <w:tab w:val="left" w:pos="426"/>
        </w:tabs>
        <w:spacing w:line="360" w:lineRule="auto"/>
        <w:ind w:right="567"/>
        <w:jc w:val="both"/>
        <w:rPr>
          <w:rFonts w:ascii="Calibri" w:hAnsi="Calibri" w:cs="Arial"/>
          <w:color w:val="auto"/>
          <w:szCs w:val="24"/>
        </w:rPr>
      </w:pPr>
      <w:r w:rsidRPr="00C66C04">
        <w:rPr>
          <w:rFonts w:ascii="Calibri" w:hAnsi="Calibri" w:cs="Arial"/>
          <w:color w:val="auto"/>
          <w:szCs w:val="24"/>
        </w:rPr>
        <w:t xml:space="preserve">contenzioso </w:t>
      </w:r>
      <w:r>
        <w:rPr>
          <w:rFonts w:ascii="Calibri" w:hAnsi="Calibri" w:cs="Arial"/>
          <w:color w:val="auto"/>
          <w:szCs w:val="24"/>
        </w:rPr>
        <w:t>in fase di esecuzione</w:t>
      </w:r>
      <w:r w:rsidR="002A00A5" w:rsidRPr="001F30D4">
        <w:rPr>
          <w:rFonts w:ascii="Calibri" w:hAnsi="Calibri" w:cs="Arial"/>
          <w:color w:val="auto"/>
          <w:szCs w:val="24"/>
        </w:rPr>
        <w:t xml:space="preserve">; </w:t>
      </w:r>
    </w:p>
    <w:p w:rsidR="00A546DE" w:rsidRDefault="00061D38">
      <w:pPr>
        <w:pStyle w:val="Corpodeltesto"/>
        <w:numPr>
          <w:ilvl w:val="0"/>
          <w:numId w:val="19"/>
        </w:numPr>
        <w:tabs>
          <w:tab w:val="left" w:pos="426"/>
        </w:tabs>
        <w:spacing w:line="360" w:lineRule="auto"/>
        <w:ind w:right="567"/>
        <w:jc w:val="both"/>
        <w:rPr>
          <w:rFonts w:ascii="Calibri" w:hAnsi="Calibri" w:cs="Arial"/>
          <w:color w:val="auto"/>
          <w:szCs w:val="24"/>
        </w:rPr>
      </w:pPr>
      <w:r>
        <w:rPr>
          <w:rFonts w:ascii="Calibri" w:hAnsi="Calibri" w:cs="Arial"/>
          <w:color w:val="auto"/>
          <w:szCs w:val="24"/>
        </w:rPr>
        <w:t xml:space="preserve">altri elmenti, </w:t>
      </w:r>
      <w:r w:rsidR="00E842A4">
        <w:rPr>
          <w:rFonts w:ascii="Calibri" w:hAnsi="Calibri" w:cs="Arial"/>
          <w:color w:val="auto"/>
          <w:szCs w:val="24"/>
        </w:rPr>
        <w:t xml:space="preserve">più strettamente inerenti </w:t>
      </w:r>
      <w:r w:rsidR="007B10E0">
        <w:rPr>
          <w:rFonts w:ascii="Calibri" w:hAnsi="Calibri" w:cs="Arial"/>
          <w:color w:val="auto"/>
          <w:szCs w:val="24"/>
        </w:rPr>
        <w:t>al</w:t>
      </w:r>
      <w:r w:rsidR="00E842A4">
        <w:rPr>
          <w:rFonts w:ascii="Calibri" w:hAnsi="Calibri" w:cs="Arial"/>
          <w:color w:val="auto"/>
          <w:szCs w:val="24"/>
        </w:rPr>
        <w:t>la</w:t>
      </w:r>
      <w:r w:rsidRPr="00683CB9">
        <w:rPr>
          <w:rFonts w:ascii="Calibri" w:hAnsi="Calibri" w:cs="Arial"/>
          <w:color w:val="auto"/>
          <w:szCs w:val="24"/>
        </w:rPr>
        <w:t xml:space="preserve"> </w:t>
      </w:r>
      <w:r w:rsidR="002A00A5" w:rsidRPr="002A00A5">
        <w:rPr>
          <w:rFonts w:ascii="Calibri" w:hAnsi="Calibri" w:cs="Arial"/>
          <w:i/>
          <w:color w:val="auto"/>
          <w:szCs w:val="24"/>
        </w:rPr>
        <w:t>performance</w:t>
      </w:r>
      <w:r w:rsidR="00E842A4">
        <w:rPr>
          <w:rFonts w:ascii="Calibri" w:hAnsi="Calibri" w:cs="Arial"/>
          <w:color w:val="auto"/>
          <w:szCs w:val="24"/>
        </w:rPr>
        <w:t xml:space="preserve"> dell’impresa in senso soggettivo </w:t>
      </w:r>
      <w:r w:rsidRPr="00683CB9">
        <w:rPr>
          <w:rFonts w:ascii="Calibri" w:hAnsi="Calibri" w:cs="Arial"/>
          <w:color w:val="auto"/>
          <w:szCs w:val="24"/>
        </w:rPr>
        <w:t xml:space="preserve"> quali</w:t>
      </w:r>
      <w:r w:rsidR="00E842A4">
        <w:rPr>
          <w:rFonts w:ascii="Calibri" w:hAnsi="Calibri" w:cs="Arial"/>
          <w:color w:val="auto"/>
          <w:szCs w:val="24"/>
        </w:rPr>
        <w:t>,</w:t>
      </w:r>
      <w:r w:rsidRPr="00683CB9">
        <w:rPr>
          <w:rFonts w:ascii="Calibri" w:hAnsi="Calibri" w:cs="Arial"/>
          <w:color w:val="auto"/>
          <w:szCs w:val="24"/>
        </w:rPr>
        <w:t xml:space="preserve"> ad esempio, rilevazioni di </w:t>
      </w:r>
      <w:r w:rsidRPr="00683CB9">
        <w:rPr>
          <w:rFonts w:ascii="Calibri" w:hAnsi="Calibri" w:cs="Arial"/>
          <w:i/>
          <w:color w:val="auto"/>
          <w:szCs w:val="24"/>
        </w:rPr>
        <w:t>customer satisfaction</w:t>
      </w:r>
      <w:r w:rsidRPr="00683CB9">
        <w:rPr>
          <w:rFonts w:ascii="Calibri" w:hAnsi="Calibri" w:cs="Arial"/>
          <w:color w:val="auto"/>
          <w:szCs w:val="24"/>
        </w:rPr>
        <w:t xml:space="preserve"> sugli utenti finali o altre valutazioni di soddisfazione rilevate dal committente, da t</w:t>
      </w:r>
      <w:r>
        <w:rPr>
          <w:rFonts w:ascii="Calibri" w:hAnsi="Calibri" w:cs="Arial"/>
          <w:color w:val="auto"/>
          <w:szCs w:val="24"/>
        </w:rPr>
        <w:t>rattare eventualmente con tecniche statistiche</w:t>
      </w:r>
      <w:r w:rsidRPr="00683CB9">
        <w:rPr>
          <w:rFonts w:ascii="Calibri" w:hAnsi="Calibri" w:cs="Arial"/>
          <w:color w:val="auto"/>
          <w:szCs w:val="24"/>
        </w:rPr>
        <w:t xml:space="preserve">. </w:t>
      </w:r>
    </w:p>
    <w:p w:rsidR="00A546DE" w:rsidRDefault="001218F7">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Tuttavia, tali elementi, alla </w:t>
      </w:r>
      <w:r w:rsidR="00061D38">
        <w:rPr>
          <w:rFonts w:ascii="Calibri" w:hAnsi="Calibri" w:cs="Arial"/>
          <w:color w:val="auto"/>
          <w:szCs w:val="24"/>
        </w:rPr>
        <w:t xml:space="preserve">luce dell’attuale contesto normativo, </w:t>
      </w:r>
      <w:r>
        <w:rPr>
          <w:rFonts w:ascii="Calibri" w:hAnsi="Calibri" w:cs="Arial"/>
          <w:color w:val="auto"/>
          <w:szCs w:val="24"/>
        </w:rPr>
        <w:t>sembrerebbero ad oggi applicabili per la selezione “a monte” dei partecipanti</w:t>
      </w:r>
      <w:r w:rsidR="00061D38">
        <w:rPr>
          <w:rFonts w:ascii="Calibri" w:hAnsi="Calibri" w:cs="Arial"/>
          <w:color w:val="auto"/>
          <w:szCs w:val="24"/>
        </w:rPr>
        <w:t xml:space="preserve"> alle sole procedure di affidamento “ad invito”, ed in particolare: </w:t>
      </w:r>
    </w:p>
    <w:p w:rsidR="00A546DE" w:rsidRDefault="00061D38">
      <w:pPr>
        <w:pStyle w:val="Corpodeltesto"/>
        <w:numPr>
          <w:ilvl w:val="0"/>
          <w:numId w:val="19"/>
        </w:numPr>
        <w:tabs>
          <w:tab w:val="left" w:pos="426"/>
        </w:tabs>
        <w:spacing w:line="360" w:lineRule="auto"/>
        <w:ind w:right="567"/>
        <w:jc w:val="both"/>
        <w:rPr>
          <w:rFonts w:ascii="Calibri" w:hAnsi="Calibri" w:cs="Arial"/>
          <w:color w:val="auto"/>
          <w:szCs w:val="24"/>
        </w:rPr>
      </w:pPr>
      <w:r w:rsidRPr="003F5A2F">
        <w:rPr>
          <w:rFonts w:ascii="Calibri" w:hAnsi="Calibri" w:cs="Arial"/>
          <w:color w:val="auto"/>
          <w:szCs w:val="24"/>
        </w:rPr>
        <w:t xml:space="preserve">alle procedure negoziate </w:t>
      </w:r>
      <w:r>
        <w:rPr>
          <w:rFonts w:ascii="Calibri" w:hAnsi="Calibri" w:cs="Arial"/>
          <w:color w:val="auto"/>
          <w:szCs w:val="24"/>
        </w:rPr>
        <w:t xml:space="preserve">con o senza </w:t>
      </w:r>
      <w:r w:rsidRPr="003F5A2F">
        <w:rPr>
          <w:rFonts w:ascii="Calibri" w:hAnsi="Calibri" w:cs="Arial"/>
          <w:color w:val="auto"/>
          <w:szCs w:val="24"/>
        </w:rPr>
        <w:t>senza pubblicazione del</w:t>
      </w:r>
      <w:r>
        <w:rPr>
          <w:rFonts w:ascii="Calibri" w:hAnsi="Calibri" w:cs="Arial"/>
          <w:color w:val="auto"/>
          <w:szCs w:val="24"/>
        </w:rPr>
        <w:t xml:space="preserve"> bando</w:t>
      </w:r>
      <w:r w:rsidR="007B10E0">
        <w:rPr>
          <w:rFonts w:ascii="Calibri" w:hAnsi="Calibri" w:cs="Arial"/>
          <w:color w:val="auto"/>
          <w:szCs w:val="24"/>
        </w:rPr>
        <w:t>: p</w:t>
      </w:r>
      <w:r>
        <w:rPr>
          <w:rFonts w:ascii="Calibri" w:hAnsi="Calibri" w:cs="Arial"/>
          <w:color w:val="auto"/>
          <w:szCs w:val="24"/>
        </w:rPr>
        <w:t xml:space="preserve">er </w:t>
      </w:r>
      <w:r>
        <w:rPr>
          <w:rFonts w:ascii="Calibri" w:hAnsi="Calibri" w:cs="Arial"/>
          <w:color w:val="auto"/>
          <w:szCs w:val="24"/>
        </w:rPr>
        <w:lastRenderedPageBreak/>
        <w:t>quanto riguarda le procedure negoziate con pubblicazione del bando, utilizzando la forcella di cui all’art</w:t>
      </w:r>
      <w:r w:rsidR="00F80A31">
        <w:rPr>
          <w:rFonts w:ascii="Calibri" w:hAnsi="Calibri" w:cs="Arial"/>
          <w:color w:val="auto"/>
          <w:szCs w:val="24"/>
        </w:rPr>
        <w:t xml:space="preserve">icolo </w:t>
      </w:r>
      <w:r>
        <w:rPr>
          <w:rFonts w:ascii="Calibri" w:hAnsi="Calibri" w:cs="Arial"/>
          <w:color w:val="auto"/>
          <w:szCs w:val="24"/>
        </w:rPr>
        <w:t>62 del Codice</w:t>
      </w:r>
      <w:r w:rsidR="007B10E0">
        <w:rPr>
          <w:rFonts w:ascii="Calibri" w:hAnsi="Calibri" w:cs="Arial"/>
          <w:color w:val="auto"/>
          <w:szCs w:val="24"/>
        </w:rPr>
        <w:t>; p</w:t>
      </w:r>
      <w:r>
        <w:rPr>
          <w:rFonts w:ascii="Calibri" w:hAnsi="Calibri" w:cs="Arial"/>
          <w:color w:val="auto"/>
          <w:szCs w:val="24"/>
        </w:rPr>
        <w:t xml:space="preserve">er quanto riguarda le procedure negoziate senza previa pubblicazione di un bando,  al comma 6 dell’art. 57,  è previsto </w:t>
      </w:r>
      <w:r w:rsidRPr="003F5A2F">
        <w:rPr>
          <w:rFonts w:ascii="Calibri" w:hAnsi="Calibri" w:cs="Arial"/>
          <w:color w:val="auto"/>
          <w:szCs w:val="24"/>
        </w:rPr>
        <w:t xml:space="preserve">che </w:t>
      </w:r>
      <w:r w:rsidR="00F80A31">
        <w:rPr>
          <w:rFonts w:ascii="Calibri" w:hAnsi="Calibri" w:cs="Arial"/>
          <w:color w:val="auto"/>
          <w:szCs w:val="24"/>
        </w:rPr>
        <w:t>“</w:t>
      </w:r>
      <w:r w:rsidR="009A19FB">
        <w:rPr>
          <w:rFonts w:ascii="Calibri" w:hAnsi="Calibri" w:cs="Arial"/>
          <w:i/>
          <w:color w:val="auto"/>
          <w:szCs w:val="24"/>
        </w:rPr>
        <w:t>o</w:t>
      </w:r>
      <w:r w:rsidR="009A19FB" w:rsidRPr="003F5A2F">
        <w:rPr>
          <w:rFonts w:ascii="Calibri" w:hAnsi="Calibri" w:cs="Arial"/>
          <w:i/>
          <w:color w:val="auto"/>
          <w:szCs w:val="24"/>
        </w:rPr>
        <w:t xml:space="preserve">ve </w:t>
      </w:r>
      <w:r w:rsidRPr="003F5A2F">
        <w:rPr>
          <w:rFonts w:ascii="Calibri" w:hAnsi="Calibri" w:cs="Arial"/>
          <w:i/>
          <w:color w:val="auto"/>
          <w:szCs w:val="24"/>
        </w:rPr>
        <w:t xml:space="preserve">possibile, la stazione appaltante individua gli operatori economici da consultare sulla base di informazioni riguardanti le caratteristiche di qualificazione economico finanziaria e tecnico organizzativa desunte dal mercato, nel rispetto dei principi di trasparenza, concorrenza, rotazione, e seleziona almeno </w:t>
      </w:r>
      <w:r w:rsidRPr="00C66C04">
        <w:rPr>
          <w:rFonts w:ascii="Calibri" w:hAnsi="Calibri" w:cs="Arial"/>
          <w:i/>
          <w:color w:val="auto"/>
          <w:szCs w:val="24"/>
        </w:rPr>
        <w:t>tre operatori economici</w:t>
      </w:r>
      <w:r w:rsidRPr="003F5A2F">
        <w:rPr>
          <w:rFonts w:ascii="Calibri" w:hAnsi="Calibri" w:cs="Arial"/>
          <w:i/>
          <w:color w:val="auto"/>
          <w:szCs w:val="24"/>
        </w:rPr>
        <w:t>, se sussistono in tale numero soggetti idonei</w:t>
      </w:r>
      <w:r w:rsidR="00F80A31">
        <w:rPr>
          <w:rFonts w:ascii="Calibri" w:hAnsi="Calibri" w:cs="Arial"/>
          <w:i/>
          <w:color w:val="auto"/>
          <w:szCs w:val="24"/>
        </w:rPr>
        <w:t>”</w:t>
      </w:r>
      <w:r w:rsidRPr="003F5A2F">
        <w:rPr>
          <w:rFonts w:ascii="Calibri" w:hAnsi="Calibri" w:cs="Arial"/>
          <w:i/>
          <w:color w:val="auto"/>
          <w:szCs w:val="24"/>
        </w:rPr>
        <w:t xml:space="preserve">. </w:t>
      </w:r>
    </w:p>
    <w:p w:rsidR="00A546DE" w:rsidRDefault="00F80A31">
      <w:pPr>
        <w:pStyle w:val="Corpodeltesto"/>
        <w:numPr>
          <w:ilvl w:val="0"/>
          <w:numId w:val="19"/>
        </w:numPr>
        <w:tabs>
          <w:tab w:val="left" w:pos="426"/>
        </w:tabs>
        <w:spacing w:line="360" w:lineRule="auto"/>
        <w:ind w:right="567"/>
        <w:jc w:val="both"/>
        <w:rPr>
          <w:rFonts w:ascii="Calibri" w:hAnsi="Calibri" w:cs="Arial"/>
          <w:color w:val="auto"/>
          <w:szCs w:val="24"/>
        </w:rPr>
      </w:pPr>
      <w:r>
        <w:rPr>
          <w:rFonts w:ascii="Calibri" w:hAnsi="Calibri" w:cs="Arial"/>
          <w:color w:val="auto"/>
          <w:szCs w:val="24"/>
        </w:rPr>
        <w:t>a</w:t>
      </w:r>
      <w:r w:rsidRPr="003F5A2F">
        <w:rPr>
          <w:rFonts w:ascii="Calibri" w:hAnsi="Calibri" w:cs="Arial"/>
          <w:color w:val="auto"/>
          <w:szCs w:val="24"/>
        </w:rPr>
        <w:t xml:space="preserve">lle </w:t>
      </w:r>
      <w:r w:rsidR="00061D38" w:rsidRPr="003F5A2F">
        <w:rPr>
          <w:rFonts w:ascii="Calibri" w:hAnsi="Calibri" w:cs="Arial"/>
          <w:color w:val="auto"/>
          <w:szCs w:val="24"/>
        </w:rPr>
        <w:t>procedure in economia di cui all’art</w:t>
      </w:r>
      <w:r>
        <w:rPr>
          <w:rFonts w:ascii="Calibri" w:hAnsi="Calibri" w:cs="Arial"/>
          <w:color w:val="auto"/>
          <w:szCs w:val="24"/>
        </w:rPr>
        <w:t>icolo</w:t>
      </w:r>
      <w:r w:rsidRPr="003F5A2F">
        <w:rPr>
          <w:rFonts w:ascii="Calibri" w:hAnsi="Calibri" w:cs="Arial"/>
          <w:color w:val="auto"/>
          <w:szCs w:val="24"/>
        </w:rPr>
        <w:t xml:space="preserve"> </w:t>
      </w:r>
      <w:r w:rsidR="00061D38" w:rsidRPr="003F5A2F">
        <w:rPr>
          <w:rFonts w:ascii="Calibri" w:hAnsi="Calibri" w:cs="Arial"/>
          <w:color w:val="auto"/>
          <w:szCs w:val="24"/>
        </w:rPr>
        <w:t>125</w:t>
      </w:r>
      <w:r>
        <w:rPr>
          <w:rFonts w:ascii="Calibri" w:hAnsi="Calibri" w:cs="Arial"/>
          <w:color w:val="auto"/>
          <w:szCs w:val="24"/>
        </w:rPr>
        <w:t>,</w:t>
      </w:r>
      <w:r w:rsidR="00061D38" w:rsidRPr="003F5A2F">
        <w:rPr>
          <w:rFonts w:ascii="Calibri" w:hAnsi="Calibri" w:cs="Arial"/>
          <w:color w:val="auto"/>
          <w:szCs w:val="24"/>
        </w:rPr>
        <w:t xml:space="preserve"> comma 11</w:t>
      </w:r>
      <w:r>
        <w:rPr>
          <w:rFonts w:ascii="Calibri" w:hAnsi="Calibri" w:cs="Arial"/>
          <w:color w:val="auto"/>
          <w:szCs w:val="24"/>
        </w:rPr>
        <w:t xml:space="preserve"> del Codice</w:t>
      </w:r>
      <w:r w:rsidR="00061D38" w:rsidRPr="003F5A2F">
        <w:rPr>
          <w:rFonts w:ascii="Calibri" w:hAnsi="Calibri" w:cs="Arial"/>
          <w:color w:val="auto"/>
          <w:szCs w:val="24"/>
        </w:rPr>
        <w:t xml:space="preserve">: </w:t>
      </w:r>
      <w:r>
        <w:rPr>
          <w:rFonts w:ascii="Calibri" w:hAnsi="Calibri" w:cs="Arial"/>
          <w:color w:val="auto"/>
          <w:szCs w:val="24"/>
        </w:rPr>
        <w:t>“</w:t>
      </w:r>
      <w:r w:rsidR="00061D38" w:rsidRPr="003F5A2F">
        <w:rPr>
          <w:rFonts w:ascii="Calibri" w:hAnsi="Calibri" w:cs="Arial"/>
          <w:i/>
          <w:color w:val="auto"/>
          <w:szCs w:val="24"/>
        </w:rPr>
        <w:t xml:space="preserve">Per servizi o forniture di importo pari o superiore a ventimila euro e fino alle soglie di cui al comma 9, l'affidamento mediante cottimo fiduciario avviene nel rispetto dei principi di </w:t>
      </w:r>
      <w:r w:rsidR="00061D38" w:rsidRPr="00C66C04">
        <w:rPr>
          <w:rFonts w:ascii="Calibri" w:hAnsi="Calibri" w:cs="Arial"/>
          <w:i/>
          <w:color w:val="auto"/>
          <w:szCs w:val="24"/>
        </w:rPr>
        <w:t>trasparenza, rotazione, parità di trattamento, previa consultazione di almeno cinque operatori economici</w:t>
      </w:r>
      <w:r w:rsidR="00061D38" w:rsidRPr="003F5A2F">
        <w:rPr>
          <w:rFonts w:ascii="Calibri" w:hAnsi="Calibri" w:cs="Arial"/>
          <w:i/>
          <w:color w:val="auto"/>
          <w:szCs w:val="24"/>
        </w:rPr>
        <w:t>, se sussistono in tale numero soggetti idonei, individuati sulla base di indagini di mercato ovvero tramite elenchi di operatori economici predisposti dalla stazione appaltante</w:t>
      </w:r>
      <w:r>
        <w:rPr>
          <w:rFonts w:ascii="Calibri" w:hAnsi="Calibri" w:cs="Arial"/>
          <w:i/>
          <w:color w:val="auto"/>
          <w:szCs w:val="24"/>
        </w:rPr>
        <w:t>”</w:t>
      </w:r>
      <w:r w:rsidR="00061D38" w:rsidRPr="003F5A2F">
        <w:rPr>
          <w:rFonts w:ascii="Calibri" w:hAnsi="Calibri" w:cs="Arial"/>
          <w:i/>
          <w:color w:val="auto"/>
          <w:szCs w:val="24"/>
        </w:rPr>
        <w:t>.</w:t>
      </w:r>
    </w:p>
    <w:p w:rsidR="00A546DE" w:rsidRDefault="00061D38">
      <w:pPr>
        <w:pStyle w:val="Corpodeltesto"/>
        <w:numPr>
          <w:ilvl w:val="0"/>
          <w:numId w:val="19"/>
        </w:numPr>
        <w:tabs>
          <w:tab w:val="left" w:pos="426"/>
        </w:tabs>
        <w:spacing w:line="360" w:lineRule="auto"/>
        <w:ind w:right="567"/>
        <w:jc w:val="both"/>
        <w:rPr>
          <w:rFonts w:ascii="Calibri" w:hAnsi="Calibri" w:cs="Arial"/>
          <w:color w:val="auto"/>
          <w:szCs w:val="24"/>
        </w:rPr>
      </w:pPr>
      <w:r>
        <w:rPr>
          <w:rFonts w:ascii="Calibri" w:hAnsi="Calibri" w:cs="Arial"/>
          <w:color w:val="auto"/>
          <w:szCs w:val="24"/>
        </w:rPr>
        <w:t xml:space="preserve">ai settori esclusi </w:t>
      </w:r>
      <w:r w:rsidRPr="003F5A2F">
        <w:rPr>
          <w:rFonts w:ascii="Calibri" w:hAnsi="Calibri" w:cs="Arial"/>
          <w:color w:val="auto"/>
          <w:szCs w:val="24"/>
        </w:rPr>
        <w:t>in par</w:t>
      </w:r>
      <w:r>
        <w:rPr>
          <w:rFonts w:ascii="Calibri" w:hAnsi="Calibri" w:cs="Arial"/>
          <w:color w:val="auto"/>
          <w:szCs w:val="24"/>
        </w:rPr>
        <w:t>te da</w:t>
      </w:r>
      <w:r w:rsidRPr="003F5A2F">
        <w:rPr>
          <w:rFonts w:ascii="Calibri" w:hAnsi="Calibri" w:cs="Arial"/>
          <w:color w:val="auto"/>
          <w:szCs w:val="24"/>
        </w:rPr>
        <w:t>ll’applicazio</w:t>
      </w:r>
      <w:r>
        <w:rPr>
          <w:rFonts w:ascii="Calibri" w:hAnsi="Calibri" w:cs="Arial"/>
          <w:color w:val="auto"/>
          <w:szCs w:val="24"/>
        </w:rPr>
        <w:t xml:space="preserve">ne del </w:t>
      </w:r>
      <w:r w:rsidR="00F80A31">
        <w:rPr>
          <w:rFonts w:ascii="Calibri" w:hAnsi="Calibri" w:cs="Arial"/>
          <w:color w:val="auto"/>
          <w:szCs w:val="24"/>
        </w:rPr>
        <w:t xml:space="preserve">Codice </w:t>
      </w:r>
      <w:r>
        <w:rPr>
          <w:rFonts w:ascii="Calibri" w:hAnsi="Calibri" w:cs="Arial"/>
          <w:color w:val="auto"/>
          <w:szCs w:val="24"/>
        </w:rPr>
        <w:t>(artt. 20 e 21</w:t>
      </w:r>
      <w:r w:rsidRPr="003F5A2F">
        <w:rPr>
          <w:rFonts w:ascii="Calibri" w:hAnsi="Calibri" w:cs="Arial"/>
          <w:color w:val="auto"/>
          <w:szCs w:val="24"/>
        </w:rPr>
        <w:t>)</w:t>
      </w:r>
      <w:r w:rsidR="00F80A31">
        <w:rPr>
          <w:rFonts w:ascii="Calibri" w:hAnsi="Calibri" w:cs="Arial"/>
          <w:color w:val="auto"/>
          <w:szCs w:val="24"/>
        </w:rPr>
        <w:t>,</w:t>
      </w:r>
      <w:r w:rsidRPr="003F5A2F">
        <w:rPr>
          <w:rFonts w:ascii="Calibri" w:hAnsi="Calibri" w:cs="Arial"/>
          <w:color w:val="auto"/>
          <w:szCs w:val="24"/>
        </w:rPr>
        <w:t xml:space="preserve"> </w:t>
      </w:r>
      <w:r>
        <w:rPr>
          <w:rFonts w:ascii="Calibri" w:hAnsi="Calibri" w:cs="Arial"/>
          <w:color w:val="auto"/>
          <w:szCs w:val="24"/>
        </w:rPr>
        <w:t xml:space="preserve">come i servizi che ricadono nell’Allegato </w:t>
      </w:r>
      <w:r w:rsidRPr="003F5A2F">
        <w:rPr>
          <w:rFonts w:ascii="Calibri" w:hAnsi="Calibri" w:cs="Arial"/>
          <w:color w:val="auto"/>
          <w:szCs w:val="24"/>
        </w:rPr>
        <w:t>IIB o m</w:t>
      </w:r>
      <w:r>
        <w:rPr>
          <w:rFonts w:ascii="Calibri" w:hAnsi="Calibri" w:cs="Arial"/>
          <w:color w:val="auto"/>
          <w:szCs w:val="24"/>
        </w:rPr>
        <w:t>isti con prevalenza dei servizi</w:t>
      </w:r>
      <w:r w:rsidRPr="003F5A2F">
        <w:rPr>
          <w:rFonts w:ascii="Calibri" w:hAnsi="Calibri" w:cs="Arial"/>
          <w:color w:val="auto"/>
          <w:szCs w:val="24"/>
        </w:rPr>
        <w:t xml:space="preserve"> “IIB” rispetto al “IIA”. Per tali servizi l’art</w:t>
      </w:r>
      <w:r w:rsidR="00F80A31">
        <w:rPr>
          <w:rFonts w:ascii="Calibri" w:hAnsi="Calibri" w:cs="Arial"/>
          <w:color w:val="auto"/>
          <w:szCs w:val="24"/>
        </w:rPr>
        <w:t>icolo</w:t>
      </w:r>
      <w:r w:rsidR="00F80A31" w:rsidRPr="003F5A2F">
        <w:rPr>
          <w:rFonts w:ascii="Calibri" w:hAnsi="Calibri" w:cs="Arial"/>
          <w:color w:val="auto"/>
          <w:szCs w:val="24"/>
        </w:rPr>
        <w:t xml:space="preserve"> </w:t>
      </w:r>
      <w:r w:rsidRPr="003F5A2F">
        <w:rPr>
          <w:rFonts w:ascii="Calibri" w:hAnsi="Calibri" w:cs="Arial"/>
          <w:color w:val="auto"/>
          <w:szCs w:val="24"/>
        </w:rPr>
        <w:t xml:space="preserve">27 prevede, “in chiusura”, che </w:t>
      </w:r>
      <w:r w:rsidR="00F80A31">
        <w:rPr>
          <w:rFonts w:ascii="Calibri" w:hAnsi="Calibri" w:cs="Arial"/>
          <w:color w:val="auto"/>
          <w:szCs w:val="24"/>
        </w:rPr>
        <w:t>“</w:t>
      </w:r>
      <w:r w:rsidR="009A19FB">
        <w:rPr>
          <w:rFonts w:ascii="Calibri" w:hAnsi="Calibri" w:cs="Arial"/>
          <w:i/>
          <w:color w:val="auto"/>
          <w:szCs w:val="24"/>
        </w:rPr>
        <w:t>l</w:t>
      </w:r>
      <w:r w:rsidR="009A19FB" w:rsidRPr="003F5A2F">
        <w:rPr>
          <w:rFonts w:ascii="Calibri" w:hAnsi="Calibri" w:cs="Arial"/>
          <w:i/>
          <w:color w:val="auto"/>
          <w:szCs w:val="24"/>
        </w:rPr>
        <w:t xml:space="preserve">'affidamento </w:t>
      </w:r>
      <w:r w:rsidRPr="003F5A2F">
        <w:rPr>
          <w:rFonts w:ascii="Calibri" w:hAnsi="Calibri" w:cs="Arial"/>
          <w:i/>
          <w:color w:val="auto"/>
          <w:szCs w:val="24"/>
        </w:rPr>
        <w:t xml:space="preserve">deve essere preceduto da invito ad </w:t>
      </w:r>
      <w:r w:rsidRPr="00C66C04">
        <w:rPr>
          <w:rFonts w:ascii="Calibri" w:hAnsi="Calibri" w:cs="Arial"/>
          <w:i/>
          <w:color w:val="auto"/>
          <w:szCs w:val="24"/>
        </w:rPr>
        <w:t>almeno cinque concorrenti</w:t>
      </w:r>
      <w:r w:rsidRPr="003F5A2F">
        <w:rPr>
          <w:rFonts w:ascii="Calibri" w:hAnsi="Calibri" w:cs="Arial"/>
          <w:i/>
          <w:color w:val="auto"/>
          <w:szCs w:val="24"/>
        </w:rPr>
        <w:t>, se compatibile con l'oggetto del contratto</w:t>
      </w:r>
      <w:r w:rsidR="00F80A31">
        <w:rPr>
          <w:rFonts w:ascii="Calibri" w:hAnsi="Calibri" w:cs="Arial"/>
          <w:i/>
          <w:color w:val="auto"/>
          <w:szCs w:val="24"/>
        </w:rPr>
        <w:t>”</w:t>
      </w:r>
      <w:r w:rsidRPr="003F5A2F">
        <w:rPr>
          <w:rFonts w:ascii="Calibri" w:hAnsi="Calibri" w:cs="Arial"/>
          <w:i/>
          <w:color w:val="auto"/>
          <w:szCs w:val="24"/>
        </w:rPr>
        <w:t xml:space="preserve">. </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In tutti questi casi</w:t>
      </w:r>
      <w:r w:rsidR="00F80A31">
        <w:rPr>
          <w:rFonts w:ascii="Calibri" w:hAnsi="Calibri" w:cs="Arial"/>
          <w:color w:val="auto"/>
          <w:szCs w:val="24"/>
        </w:rPr>
        <w:t>,</w:t>
      </w:r>
      <w:r>
        <w:rPr>
          <w:rFonts w:ascii="Calibri" w:hAnsi="Calibri" w:cs="Arial"/>
          <w:color w:val="auto"/>
          <w:szCs w:val="24"/>
        </w:rPr>
        <w:t xml:space="preserve"> il legislatore ha previsto l’invito di un numero minimo di concorrenti.  Nonostante l’assenza di indicazioni sul numero massimo, ad una prima analisi, tali norme lascerebbero intendere che le stazioni appaltanti non hanno l’obbligo di </w:t>
      </w:r>
      <w:r w:rsidR="002A00A5" w:rsidRPr="000F7EF7">
        <w:rPr>
          <w:rFonts w:ascii="Calibri" w:hAnsi="Calibri" w:cs="Arial"/>
          <w:color w:val="auto"/>
          <w:szCs w:val="24"/>
        </w:rPr>
        <w:t>selezionare tutti gli operatori potenzialmente in grado di svolgere l’appalto, bensì anche un numero più ristretto, nel rispetto dei principi generali del Codice, il quale, tuttavia, non si esprime sui parametri che le stazioni appaltanti possono/devono considerare ai fini della selezione</w:t>
      </w:r>
      <w:r w:rsidRPr="000F7EF7">
        <w:rPr>
          <w:rFonts w:ascii="Calibri" w:hAnsi="Calibri" w:cs="Arial"/>
          <w:color w:val="auto"/>
          <w:szCs w:val="24"/>
        </w:rPr>
        <w:t>.</w:t>
      </w:r>
      <w:r>
        <w:rPr>
          <w:rFonts w:ascii="Calibri" w:hAnsi="Calibri" w:cs="Arial"/>
          <w:color w:val="auto"/>
          <w:szCs w:val="24"/>
        </w:rPr>
        <w:t xml:space="preserve"> </w:t>
      </w:r>
    </w:p>
    <w:p w:rsidR="00A546DE" w:rsidRDefault="00F80A31">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lastRenderedPageBreak/>
        <w:t>Opportuni criteri  r</w:t>
      </w:r>
      <w:r w:rsidR="00061D38">
        <w:rPr>
          <w:rFonts w:ascii="Calibri" w:hAnsi="Calibri" w:cs="Arial"/>
          <w:color w:val="auto"/>
          <w:szCs w:val="24"/>
        </w:rPr>
        <w:t xml:space="preserve">eputazionali potrebbero andare nella direzione del rispetto del principio di trasparenza, espressamente richiamato negli stessi </w:t>
      </w:r>
      <w:r>
        <w:rPr>
          <w:rFonts w:ascii="Calibri" w:hAnsi="Calibri" w:cs="Arial"/>
          <w:color w:val="auto"/>
          <w:szCs w:val="24"/>
        </w:rPr>
        <w:t>articoli</w:t>
      </w:r>
      <w:r w:rsidR="00061D38">
        <w:rPr>
          <w:rFonts w:ascii="Calibri" w:hAnsi="Calibri" w:cs="Arial"/>
          <w:color w:val="auto"/>
          <w:szCs w:val="24"/>
        </w:rPr>
        <w:t xml:space="preserve"> 57 e 125, fornendo indicazioni utili ai fini dell’invito, specialmente nel caso in cui le indagini di mercato evidenziassero un numero elevato di operatori economici</w:t>
      </w:r>
      <w:r>
        <w:rPr>
          <w:rFonts w:ascii="Calibri" w:hAnsi="Calibri" w:cs="Arial"/>
          <w:color w:val="auto"/>
          <w:szCs w:val="24"/>
        </w:rPr>
        <w:t xml:space="preserve"> potenzialmente</w:t>
      </w:r>
      <w:r w:rsidR="00061D38">
        <w:rPr>
          <w:rFonts w:ascii="Calibri" w:hAnsi="Calibri" w:cs="Arial"/>
          <w:color w:val="auto"/>
          <w:szCs w:val="24"/>
        </w:rPr>
        <w:t xml:space="preserve"> idonei allo svolgimento del servizio/fornitura.</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D’altra parte</w:t>
      </w:r>
      <w:r w:rsidR="00F80A31">
        <w:rPr>
          <w:rFonts w:ascii="Calibri" w:hAnsi="Calibri" w:cs="Arial"/>
          <w:color w:val="auto"/>
          <w:szCs w:val="24"/>
        </w:rPr>
        <w:t>,</w:t>
      </w:r>
      <w:r>
        <w:rPr>
          <w:rFonts w:ascii="Calibri" w:hAnsi="Calibri" w:cs="Arial"/>
          <w:color w:val="auto"/>
          <w:szCs w:val="24"/>
        </w:rPr>
        <w:t xml:space="preserve"> si deve evidenziare che sia nelle procedure in economia che in quelle negoziate senza bando, il </w:t>
      </w:r>
      <w:r w:rsidR="00F80A31">
        <w:rPr>
          <w:rFonts w:ascii="Calibri" w:hAnsi="Calibri" w:cs="Arial"/>
          <w:color w:val="auto"/>
          <w:szCs w:val="24"/>
        </w:rPr>
        <w:t xml:space="preserve">Codice </w:t>
      </w:r>
      <w:r>
        <w:rPr>
          <w:rFonts w:ascii="Calibri" w:hAnsi="Calibri" w:cs="Arial"/>
          <w:color w:val="auto"/>
          <w:szCs w:val="24"/>
        </w:rPr>
        <w:t>fissa un paletto ben preciso, ovvero il rispetto del principio di rotazione. Pertanto, anche se fondati su elementi oggettivi, i criteri reputazionali incontrano il vincolo della rotazione tra i fornitori, in virtù del quale, quindi, non sarebbe possibile invitare sistematicamente uno o più soggetti, ancorché oggettivamente più affidabile/i di altri. Tale vincolo non è espressamente previsto per le procedure in economia al di sotto dei €</w:t>
      </w:r>
      <w:r w:rsidR="007B10E0">
        <w:rPr>
          <w:rFonts w:ascii="Calibri" w:hAnsi="Calibri" w:cs="Arial"/>
          <w:color w:val="auto"/>
          <w:szCs w:val="24"/>
        </w:rPr>
        <w:t xml:space="preserve"> </w:t>
      </w:r>
      <w:r>
        <w:rPr>
          <w:rFonts w:ascii="Calibri" w:hAnsi="Calibri" w:cs="Arial"/>
          <w:color w:val="auto"/>
          <w:szCs w:val="24"/>
        </w:rPr>
        <w:t>20.000, rispetto alle quali è invece ammesso l’affidamento diretto (art</w:t>
      </w:r>
      <w:r w:rsidR="00F80A31">
        <w:rPr>
          <w:rFonts w:ascii="Calibri" w:hAnsi="Calibri" w:cs="Arial"/>
          <w:color w:val="auto"/>
          <w:szCs w:val="24"/>
        </w:rPr>
        <w:t xml:space="preserve">icolo </w:t>
      </w:r>
      <w:r>
        <w:rPr>
          <w:rFonts w:ascii="Calibri" w:hAnsi="Calibri" w:cs="Arial"/>
          <w:color w:val="auto"/>
          <w:szCs w:val="24"/>
        </w:rPr>
        <w:t>125, comma 11).</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Per quanto riguarda le procedure in economia, inoltre, l’art</w:t>
      </w:r>
      <w:r w:rsidR="00F80A31">
        <w:rPr>
          <w:rFonts w:ascii="Calibri" w:hAnsi="Calibri" w:cs="Arial"/>
          <w:color w:val="auto"/>
          <w:szCs w:val="24"/>
        </w:rPr>
        <w:t xml:space="preserve">icolo </w:t>
      </w:r>
      <w:r>
        <w:rPr>
          <w:rFonts w:ascii="Calibri" w:hAnsi="Calibri" w:cs="Arial"/>
          <w:color w:val="auto"/>
          <w:szCs w:val="24"/>
        </w:rPr>
        <w:t>332, commi 2 e 3, dello schema di Regolamento, fa riferimento ad elenchi – l’iscrizione ai quali non è vincolante ai fini della partecipazione alle procedure di affidamento – la cui consultazione può essere effettuata dalle stazioni appaltanti per individuare gli operatori che partecipano alle procedure in economia. La scelta dei soggetti da invitare inclusi negli elenchi potrebbe avvenire secondo criteri reputazionali.</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Nel caso, invece, dei servizi inclusi nell’allegato IIB, il </w:t>
      </w:r>
      <w:r w:rsidR="00F80A31">
        <w:rPr>
          <w:rFonts w:ascii="Calibri" w:hAnsi="Calibri" w:cs="Arial"/>
          <w:color w:val="auto"/>
          <w:szCs w:val="24"/>
        </w:rPr>
        <w:t xml:space="preserve">Codice </w:t>
      </w:r>
      <w:r>
        <w:rPr>
          <w:rFonts w:ascii="Calibri" w:hAnsi="Calibri" w:cs="Arial"/>
          <w:color w:val="auto"/>
          <w:szCs w:val="24"/>
        </w:rPr>
        <w:t>non richiama espressamente il criterio della rotazione, ma</w:t>
      </w:r>
      <w:r w:rsidR="00F80A31">
        <w:rPr>
          <w:rFonts w:ascii="Calibri" w:hAnsi="Calibri" w:cs="Arial"/>
          <w:color w:val="auto"/>
          <w:szCs w:val="24"/>
        </w:rPr>
        <w:t>,</w:t>
      </w:r>
      <w:r>
        <w:rPr>
          <w:rFonts w:ascii="Calibri" w:hAnsi="Calibri" w:cs="Arial"/>
          <w:color w:val="auto"/>
          <w:szCs w:val="24"/>
        </w:rPr>
        <w:t xml:space="preserve"> comu</w:t>
      </w:r>
      <w:r w:rsidR="00F80A31">
        <w:rPr>
          <w:rFonts w:ascii="Calibri" w:hAnsi="Calibri" w:cs="Arial"/>
          <w:color w:val="auto"/>
          <w:szCs w:val="24"/>
        </w:rPr>
        <w:t>n</w:t>
      </w:r>
      <w:r>
        <w:rPr>
          <w:rFonts w:ascii="Calibri" w:hAnsi="Calibri" w:cs="Arial"/>
          <w:color w:val="auto"/>
          <w:szCs w:val="24"/>
        </w:rPr>
        <w:t>que</w:t>
      </w:r>
      <w:r w:rsidR="00F80A31">
        <w:rPr>
          <w:rFonts w:ascii="Calibri" w:hAnsi="Calibri" w:cs="Arial"/>
          <w:color w:val="auto"/>
          <w:szCs w:val="24"/>
        </w:rPr>
        <w:t>,</w:t>
      </w:r>
      <w:r>
        <w:rPr>
          <w:rFonts w:ascii="Calibri" w:hAnsi="Calibri" w:cs="Arial"/>
          <w:color w:val="auto"/>
          <w:szCs w:val="24"/>
        </w:rPr>
        <w:t xml:space="preserve"> ribadisce quelli di trasparenza e parità di trattamento (art</w:t>
      </w:r>
      <w:r w:rsidR="00F80A31">
        <w:rPr>
          <w:rFonts w:ascii="Calibri" w:hAnsi="Calibri" w:cs="Arial"/>
          <w:color w:val="auto"/>
          <w:szCs w:val="24"/>
        </w:rPr>
        <w:t xml:space="preserve">icolo </w:t>
      </w:r>
      <w:r>
        <w:rPr>
          <w:rFonts w:ascii="Calibri" w:hAnsi="Calibri" w:cs="Arial"/>
          <w:color w:val="auto"/>
          <w:szCs w:val="24"/>
        </w:rPr>
        <w:t>27 comma 1). In tale ambito l’utilizzo di criteri reputazionali non sembra</w:t>
      </w:r>
      <w:r w:rsidR="00E478E1">
        <w:rPr>
          <w:rFonts w:ascii="Calibri" w:hAnsi="Calibri" w:cs="Arial"/>
          <w:color w:val="auto"/>
          <w:szCs w:val="24"/>
        </w:rPr>
        <w:t>, pertanto,</w:t>
      </w:r>
      <w:r>
        <w:rPr>
          <w:rFonts w:ascii="Calibri" w:hAnsi="Calibri" w:cs="Arial"/>
          <w:color w:val="auto"/>
          <w:szCs w:val="24"/>
        </w:rPr>
        <w:t xml:space="preserve"> incontrare gli ostacoli presenti nelle procedure in economia e in quelle negoziate senza bando.</w:t>
      </w:r>
    </w:p>
    <w:p w:rsidR="00061D38" w:rsidRPr="00326C51" w:rsidRDefault="00061D38" w:rsidP="00061D38">
      <w:pPr>
        <w:spacing w:line="360" w:lineRule="auto"/>
        <w:jc w:val="both"/>
        <w:rPr>
          <w:rFonts w:ascii="Calibri" w:hAnsi="Calibri" w:cs="Arial"/>
          <w:b/>
          <w:color w:val="auto"/>
          <w:szCs w:val="24"/>
        </w:rPr>
      </w:pPr>
    </w:p>
    <w:p w:rsidR="00061D38" w:rsidRPr="00D204AC" w:rsidRDefault="00061D38" w:rsidP="00061D38">
      <w:pPr>
        <w:pStyle w:val="Paragrafoelenco"/>
        <w:numPr>
          <w:ilvl w:val="0"/>
          <w:numId w:val="7"/>
        </w:numPr>
        <w:spacing w:line="360" w:lineRule="auto"/>
        <w:jc w:val="both"/>
        <w:rPr>
          <w:rFonts w:ascii="Calibri" w:hAnsi="Calibri" w:cs="Arial"/>
          <w:b/>
          <w:color w:val="auto"/>
          <w:szCs w:val="24"/>
        </w:rPr>
      </w:pPr>
      <w:r w:rsidRPr="000C5B41">
        <w:rPr>
          <w:rFonts w:ascii="Calibri" w:hAnsi="Calibri" w:cs="Arial"/>
          <w:b/>
          <w:color w:val="auto"/>
          <w:szCs w:val="24"/>
        </w:rPr>
        <w:t>Le pros</w:t>
      </w:r>
      <w:r w:rsidR="00D508F6">
        <w:rPr>
          <w:rFonts w:ascii="Calibri" w:hAnsi="Calibri" w:cs="Arial"/>
          <w:b/>
          <w:color w:val="auto"/>
          <w:szCs w:val="24"/>
        </w:rPr>
        <w:t xml:space="preserve">pettive </w:t>
      </w:r>
      <w:r w:rsidRPr="000C5B41">
        <w:rPr>
          <w:rFonts w:ascii="Calibri" w:hAnsi="Calibri" w:cs="Arial"/>
          <w:b/>
          <w:color w:val="auto"/>
          <w:szCs w:val="24"/>
        </w:rPr>
        <w:t>di utilizzo dei criteri reputazionali</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Nei paragrafi precedenti sono state sviluppate alcune </w:t>
      </w:r>
      <w:r w:rsidR="00D92090">
        <w:rPr>
          <w:rFonts w:ascii="Calibri" w:hAnsi="Calibri" w:cs="Arial"/>
          <w:color w:val="auto"/>
          <w:szCs w:val="24"/>
        </w:rPr>
        <w:t xml:space="preserve">riflessioni </w:t>
      </w:r>
      <w:r>
        <w:rPr>
          <w:rFonts w:ascii="Calibri" w:hAnsi="Calibri" w:cs="Arial"/>
          <w:color w:val="auto"/>
          <w:szCs w:val="24"/>
        </w:rPr>
        <w:t xml:space="preserve">sul possibile utilizzo di indicatori reputazionali per l’affidamento dei contratti pubblici, da costruire sulla base di </w:t>
      </w:r>
      <w:r>
        <w:rPr>
          <w:rFonts w:ascii="Calibri" w:hAnsi="Calibri" w:cs="Arial"/>
          <w:color w:val="auto"/>
          <w:szCs w:val="24"/>
        </w:rPr>
        <w:lastRenderedPageBreak/>
        <w:t>dati da raccogliere appositamente nell’ambito del Casellario Informatico,  in relazione all’importa</w:t>
      </w:r>
      <w:r w:rsidR="00D92090">
        <w:rPr>
          <w:rFonts w:ascii="Calibri" w:hAnsi="Calibri" w:cs="Arial"/>
          <w:color w:val="auto"/>
          <w:szCs w:val="24"/>
        </w:rPr>
        <w:t>n</w:t>
      </w:r>
      <w:r>
        <w:rPr>
          <w:rFonts w:ascii="Calibri" w:hAnsi="Calibri" w:cs="Arial"/>
          <w:color w:val="auto"/>
          <w:szCs w:val="24"/>
        </w:rPr>
        <w:t xml:space="preserve">za che tali </w:t>
      </w:r>
      <w:r w:rsidRPr="00D63B5F">
        <w:rPr>
          <w:rFonts w:ascii="Calibri" w:hAnsi="Calibri" w:cs="Arial"/>
          <w:color w:val="auto"/>
          <w:szCs w:val="24"/>
        </w:rPr>
        <w:t xml:space="preserve"> criteri </w:t>
      </w:r>
      <w:r>
        <w:rPr>
          <w:rFonts w:ascii="Calibri" w:hAnsi="Calibri" w:cs="Arial"/>
          <w:color w:val="auto"/>
          <w:szCs w:val="24"/>
        </w:rPr>
        <w:t>assumono per l’efficienza de</w:t>
      </w:r>
      <w:r w:rsidRPr="00D63B5F">
        <w:rPr>
          <w:rFonts w:ascii="Calibri" w:hAnsi="Calibri" w:cs="Arial"/>
          <w:color w:val="auto"/>
          <w:szCs w:val="24"/>
        </w:rPr>
        <w:t>l sistema delle imprese nel settore dei lavori, dei servizi e delle forniture</w:t>
      </w:r>
      <w:r>
        <w:rPr>
          <w:rFonts w:ascii="Calibri" w:hAnsi="Calibri" w:cs="Arial"/>
          <w:color w:val="auto"/>
          <w:szCs w:val="24"/>
        </w:rPr>
        <w:t>.</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La natura pubblicitaria del Casellario, richiamata dall’Autorità nella Determina</w:t>
      </w:r>
      <w:r w:rsidR="00004C99">
        <w:rPr>
          <w:rFonts w:ascii="Calibri" w:hAnsi="Calibri" w:cs="Arial"/>
          <w:color w:val="auto"/>
          <w:szCs w:val="24"/>
        </w:rPr>
        <w:t xml:space="preserve"> n.</w:t>
      </w:r>
      <w:r>
        <w:rPr>
          <w:rFonts w:ascii="Calibri" w:hAnsi="Calibri" w:cs="Arial"/>
          <w:color w:val="auto"/>
          <w:szCs w:val="24"/>
        </w:rPr>
        <w:t xml:space="preserve"> 1/2008, in forza della quale le informazioni provenienti dalle diverse stazioni appaltanti possono essere raccolte e sistematizzate in un unico “contenitore”, rappresenta il veicolo naturale per un’ampia diffusione esterna della reputazione delle imprese. Nella stessa Determina, in tema di servizi e forniture, l’Autorità</w:t>
      </w:r>
      <w:r w:rsidR="00004C99">
        <w:rPr>
          <w:rFonts w:ascii="Calibri" w:hAnsi="Calibri" w:cs="Arial"/>
          <w:color w:val="auto"/>
          <w:szCs w:val="24"/>
        </w:rPr>
        <w:t>,</w:t>
      </w:r>
      <w:r>
        <w:rPr>
          <w:rFonts w:ascii="Calibri" w:hAnsi="Calibri" w:cs="Arial"/>
          <w:color w:val="auto"/>
          <w:szCs w:val="24"/>
        </w:rPr>
        <w:t xml:space="preserve"> infatti</w:t>
      </w:r>
      <w:r w:rsidR="00004C99">
        <w:rPr>
          <w:rFonts w:ascii="Calibri" w:hAnsi="Calibri" w:cs="Arial"/>
          <w:color w:val="auto"/>
          <w:szCs w:val="24"/>
        </w:rPr>
        <w:t>,</w:t>
      </w:r>
      <w:r>
        <w:rPr>
          <w:rFonts w:ascii="Calibri" w:hAnsi="Calibri" w:cs="Arial"/>
          <w:color w:val="auto"/>
          <w:szCs w:val="24"/>
        </w:rPr>
        <w:t xml:space="preserve"> afferma che </w:t>
      </w:r>
      <w:r w:rsidR="00004C99">
        <w:rPr>
          <w:rFonts w:ascii="Calibri" w:hAnsi="Calibri" w:cs="Arial"/>
          <w:color w:val="auto"/>
          <w:szCs w:val="24"/>
        </w:rPr>
        <w:t>“</w:t>
      </w:r>
      <w:r w:rsidR="00004C99">
        <w:rPr>
          <w:rFonts w:ascii="Calibri" w:hAnsi="Calibri" w:cs="Arial"/>
          <w:i/>
          <w:color w:val="auto"/>
          <w:szCs w:val="24"/>
        </w:rPr>
        <w:t>l</w:t>
      </w:r>
      <w:r w:rsidR="00004C99" w:rsidRPr="009D0F6E">
        <w:rPr>
          <w:rFonts w:ascii="Calibri" w:hAnsi="Calibri" w:cs="Arial"/>
          <w:i/>
          <w:color w:val="auto"/>
          <w:szCs w:val="24"/>
        </w:rPr>
        <w:t xml:space="preserve">a </w:t>
      </w:r>
      <w:r w:rsidRPr="009D0F6E">
        <w:rPr>
          <w:rFonts w:ascii="Calibri" w:hAnsi="Calibri" w:cs="Arial"/>
          <w:i/>
          <w:color w:val="auto"/>
          <w:szCs w:val="24"/>
        </w:rPr>
        <w:t>razionalizzazione del sistema implica necessariamente che le informazioni comunicate dalle stazioni appaltanti, alla stregua di quanto sopra specificato, siano rese pubbliche, attraverso il Casellario informatico, al fine di consentire a tutte le stazioni appaltanti di avere conoscenza di tutti gli elementi necessari per il corretto esercizio delle procedure di affidamento, degli appalti e delle concessioni, di servizi e forniture</w:t>
      </w:r>
      <w:r w:rsidR="00004C99">
        <w:rPr>
          <w:rFonts w:ascii="Calibri" w:hAnsi="Calibri" w:cs="Arial"/>
          <w:i/>
          <w:color w:val="auto"/>
          <w:szCs w:val="24"/>
        </w:rPr>
        <w:t>”</w:t>
      </w:r>
      <w:r w:rsidRPr="009D0F6E">
        <w:rPr>
          <w:rFonts w:ascii="Calibri" w:hAnsi="Calibri" w:cs="Arial"/>
          <w:i/>
          <w:color w:val="auto"/>
          <w:szCs w:val="24"/>
        </w:rPr>
        <w:t>.</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Per una uniforme ed organica raccolta delle informazioni, finalizzata alla diffusione delle informazioni circa il comp</w:t>
      </w:r>
      <w:r w:rsidR="00004C99">
        <w:rPr>
          <w:rFonts w:ascii="Calibri" w:hAnsi="Calibri" w:cs="Arial"/>
          <w:color w:val="auto"/>
          <w:szCs w:val="24"/>
        </w:rPr>
        <w:t>o</w:t>
      </w:r>
      <w:r>
        <w:rPr>
          <w:rFonts w:ascii="Calibri" w:hAnsi="Calibri" w:cs="Arial"/>
          <w:color w:val="auto"/>
          <w:szCs w:val="24"/>
        </w:rPr>
        <w:t>rtamento delle imprese nell</w:t>
      </w:r>
      <w:r w:rsidR="00004C99">
        <w:rPr>
          <w:rFonts w:ascii="Calibri" w:hAnsi="Calibri" w:cs="Arial"/>
          <w:color w:val="auto"/>
          <w:szCs w:val="24"/>
        </w:rPr>
        <w:t>‘</w:t>
      </w:r>
      <w:r>
        <w:rPr>
          <w:rFonts w:ascii="Calibri" w:hAnsi="Calibri" w:cs="Arial"/>
          <w:color w:val="auto"/>
          <w:szCs w:val="24"/>
        </w:rPr>
        <w:t xml:space="preserve">esecuzione degli appalti pubblici, è necessario rivedere </w:t>
      </w:r>
      <w:r w:rsidRPr="003058B8">
        <w:rPr>
          <w:rFonts w:ascii="Calibri" w:hAnsi="Calibri" w:cs="Arial"/>
          <w:color w:val="auto"/>
          <w:szCs w:val="24"/>
        </w:rPr>
        <w:t>l</w:t>
      </w:r>
      <w:r>
        <w:rPr>
          <w:rFonts w:ascii="Calibri" w:hAnsi="Calibri" w:cs="Arial"/>
          <w:color w:val="auto"/>
          <w:szCs w:val="24"/>
        </w:rPr>
        <w:t>o schema di</w:t>
      </w:r>
      <w:r w:rsidRPr="003058B8">
        <w:rPr>
          <w:rFonts w:ascii="Calibri" w:hAnsi="Calibri" w:cs="Arial"/>
          <w:color w:val="auto"/>
          <w:szCs w:val="24"/>
        </w:rPr>
        <w:t xml:space="preserve"> relazione dettagliata </w:t>
      </w:r>
      <w:r>
        <w:rPr>
          <w:rFonts w:ascii="Calibri" w:hAnsi="Calibri" w:cs="Arial"/>
          <w:color w:val="auto"/>
          <w:szCs w:val="24"/>
        </w:rPr>
        <w:t>di cui all</w:t>
      </w:r>
      <w:r w:rsidR="007B10E0">
        <w:rPr>
          <w:rFonts w:ascii="Calibri" w:hAnsi="Calibri" w:cs="Arial"/>
          <w:color w:val="auto"/>
          <w:szCs w:val="24"/>
        </w:rPr>
        <w:t>e Determinazioni</w:t>
      </w:r>
      <w:r w:rsidR="00004C99">
        <w:rPr>
          <w:rFonts w:ascii="Calibri" w:hAnsi="Calibri" w:cs="Arial"/>
          <w:color w:val="auto"/>
          <w:szCs w:val="24"/>
        </w:rPr>
        <w:t xml:space="preserve"> n.</w:t>
      </w:r>
      <w:r>
        <w:rPr>
          <w:rFonts w:ascii="Calibri" w:hAnsi="Calibri" w:cs="Arial"/>
          <w:color w:val="auto"/>
          <w:szCs w:val="24"/>
        </w:rPr>
        <w:t xml:space="preserve"> 36/2000</w:t>
      </w:r>
      <w:r w:rsidR="00004C99">
        <w:rPr>
          <w:rFonts w:ascii="Calibri" w:hAnsi="Calibri" w:cs="Arial"/>
          <w:color w:val="auto"/>
          <w:szCs w:val="24"/>
        </w:rPr>
        <w:t>,</w:t>
      </w:r>
      <w:r>
        <w:rPr>
          <w:rFonts w:ascii="Calibri" w:hAnsi="Calibri" w:cs="Arial"/>
          <w:color w:val="auto"/>
          <w:szCs w:val="24"/>
        </w:rPr>
        <w:t xml:space="preserve"> </w:t>
      </w:r>
      <w:r w:rsidR="007B10E0">
        <w:rPr>
          <w:rFonts w:ascii="Calibri" w:hAnsi="Calibri" w:cs="Arial"/>
          <w:color w:val="auto"/>
          <w:szCs w:val="24"/>
        </w:rPr>
        <w:t xml:space="preserve">n. 1/2005 e n. 1/2008, </w:t>
      </w:r>
      <w:r>
        <w:rPr>
          <w:rFonts w:ascii="Calibri" w:hAnsi="Calibri" w:cs="Arial"/>
          <w:color w:val="auto"/>
          <w:szCs w:val="24"/>
        </w:rPr>
        <w:t>prevedendo in esso la rilevazione degli elementi relativi al comportamento dell’impresa</w:t>
      </w:r>
      <w:r w:rsidR="00004C99">
        <w:rPr>
          <w:rFonts w:ascii="Calibri" w:hAnsi="Calibri" w:cs="Arial"/>
          <w:color w:val="auto"/>
          <w:szCs w:val="24"/>
        </w:rPr>
        <w:t>,</w:t>
      </w:r>
      <w:r>
        <w:rPr>
          <w:rFonts w:ascii="Calibri" w:hAnsi="Calibri" w:cs="Arial"/>
          <w:color w:val="auto"/>
          <w:szCs w:val="24"/>
        </w:rPr>
        <w:t xml:space="preserve"> nonché elaborare </w:t>
      </w:r>
      <w:r w:rsidR="00004C99">
        <w:rPr>
          <w:rFonts w:ascii="Calibri" w:hAnsi="Calibri" w:cs="Arial"/>
          <w:color w:val="auto"/>
          <w:szCs w:val="24"/>
        </w:rPr>
        <w:t>un’</w:t>
      </w:r>
      <w:r>
        <w:rPr>
          <w:rFonts w:ascii="Calibri" w:hAnsi="Calibri" w:cs="Arial"/>
          <w:color w:val="auto"/>
          <w:szCs w:val="24"/>
        </w:rPr>
        <w:t>apposita scheda per la rilevazione di an</w:t>
      </w:r>
      <w:r w:rsidR="00004C99">
        <w:rPr>
          <w:rFonts w:ascii="Calibri" w:hAnsi="Calibri" w:cs="Arial"/>
          <w:color w:val="auto"/>
          <w:szCs w:val="24"/>
        </w:rPr>
        <w:t>a</w:t>
      </w:r>
      <w:r>
        <w:rPr>
          <w:rFonts w:ascii="Calibri" w:hAnsi="Calibri" w:cs="Arial"/>
          <w:color w:val="auto"/>
          <w:szCs w:val="24"/>
        </w:rPr>
        <w:t xml:space="preserve">loghe informazioni circa il comportamento </w:t>
      </w:r>
      <w:r w:rsidR="007B10E0">
        <w:rPr>
          <w:rFonts w:ascii="Calibri" w:hAnsi="Calibri" w:cs="Arial"/>
          <w:color w:val="auto"/>
          <w:szCs w:val="24"/>
        </w:rPr>
        <w:t>degli operatori economici</w:t>
      </w:r>
      <w:r>
        <w:rPr>
          <w:rFonts w:ascii="Calibri" w:hAnsi="Calibri" w:cs="Arial"/>
          <w:color w:val="auto"/>
          <w:szCs w:val="24"/>
        </w:rPr>
        <w:t xml:space="preserve"> per gli appalti relativi a servizi e forniture. </w:t>
      </w:r>
    </w:p>
    <w:p w:rsidR="00A546DE" w:rsidRDefault="00061D38">
      <w:pPr>
        <w:pStyle w:val="Corpodeltesto"/>
        <w:tabs>
          <w:tab w:val="left" w:pos="426"/>
        </w:tabs>
        <w:spacing w:line="360" w:lineRule="auto"/>
        <w:ind w:left="426" w:right="567"/>
        <w:jc w:val="both"/>
        <w:rPr>
          <w:rFonts w:ascii="Calibri" w:hAnsi="Calibri" w:cs="Arial"/>
          <w:color w:val="auto"/>
          <w:szCs w:val="24"/>
        </w:rPr>
      </w:pPr>
      <w:r w:rsidRPr="00A90FAE">
        <w:rPr>
          <w:rFonts w:ascii="Calibri" w:hAnsi="Calibri" w:cs="Arial"/>
          <w:color w:val="auto"/>
          <w:szCs w:val="24"/>
        </w:rPr>
        <w:t xml:space="preserve">Successivamente alla raccolta dei dati sulle imprese, occorrerà individuare indici di </w:t>
      </w:r>
      <w:r w:rsidRPr="00A90FAE">
        <w:rPr>
          <w:rFonts w:ascii="Calibri" w:hAnsi="Calibri" w:cs="Arial"/>
          <w:i/>
          <w:color w:val="auto"/>
          <w:szCs w:val="24"/>
        </w:rPr>
        <w:t>performance</w:t>
      </w:r>
      <w:r w:rsidRPr="00A90FAE">
        <w:rPr>
          <w:rFonts w:ascii="Calibri" w:hAnsi="Calibri" w:cs="Arial"/>
          <w:color w:val="auto"/>
          <w:szCs w:val="24"/>
        </w:rPr>
        <w:t xml:space="preserve"> basati su notizie di carattere sia oggettivo che soggettivo, definendo le </w:t>
      </w:r>
      <w:r w:rsidR="00187AAD">
        <w:rPr>
          <w:rFonts w:ascii="Calibri" w:hAnsi="Calibri" w:cs="Arial"/>
          <w:color w:val="auto"/>
          <w:szCs w:val="24"/>
        </w:rPr>
        <w:t>modalità di utilizzo delle informazioni soggettive (ad esempio, secondo criteri statistici fondati sulla numerosità e sulla frequenza).</w:t>
      </w:r>
    </w:p>
    <w:p w:rsidR="008A434D" w:rsidRDefault="00187AAD" w:rsidP="008A434D">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Per rendere realmente efficace un simile sistema, occorre, inoltre, prevedere alcune modifiche normative, che consentano alle stazioni appaltanti l’utilizzo di referenze positive, per esempio prevedendo, in analogia a quanto previsto dall’articolo 19 del DPR n. 34/2000, in merito all’incremento convenzionale premiante, indici e meccanismi </w:t>
      </w:r>
      <w:r>
        <w:rPr>
          <w:rFonts w:ascii="Calibri" w:hAnsi="Calibri" w:cs="Arial"/>
          <w:color w:val="auto"/>
          <w:szCs w:val="24"/>
        </w:rPr>
        <w:lastRenderedPageBreak/>
        <w:t xml:space="preserve">incentivanti che tengano conto del comportamento delle imprese, oltre che dei loro parametri economico-organizzativi. </w:t>
      </w:r>
      <w:r w:rsidR="008115EF">
        <w:rPr>
          <w:rFonts w:ascii="Calibri" w:hAnsi="Calibri" w:cs="Arial"/>
          <w:color w:val="auto"/>
          <w:szCs w:val="24"/>
        </w:rPr>
        <w:t xml:space="preserve">Spunti utili, in questa direzione, derivano, pertanto,  anche dalla considerazione degli attuali meccanismi premianti  disciplinati dal Codice, quali il dimezzamento della cauzione provvisoria e definitiva per </w:t>
      </w:r>
      <w:r w:rsidR="008115EF" w:rsidRPr="00A90FAE">
        <w:rPr>
          <w:rFonts w:ascii="Calibri" w:hAnsi="Calibri" w:cs="Arial"/>
          <w:color w:val="auto"/>
          <w:szCs w:val="24"/>
        </w:rPr>
        <w:t>i soggetti che</w:t>
      </w:r>
      <w:r w:rsidR="008115EF">
        <w:rPr>
          <w:rFonts w:ascii="Calibri" w:hAnsi="Calibri" w:cs="Arial"/>
          <w:color w:val="auto"/>
          <w:szCs w:val="24"/>
        </w:rPr>
        <w:t>, attraverso certificazioni della qualità,</w:t>
      </w:r>
      <w:r w:rsidR="008115EF" w:rsidRPr="00A90FAE">
        <w:rPr>
          <w:rFonts w:ascii="Calibri" w:hAnsi="Calibri" w:cs="Arial"/>
          <w:color w:val="auto"/>
          <w:szCs w:val="24"/>
        </w:rPr>
        <w:t xml:space="preserve"> dimostrano di avere un maggior grado </w:t>
      </w:r>
      <w:r w:rsidR="008115EF">
        <w:rPr>
          <w:rFonts w:ascii="Calibri" w:hAnsi="Calibri" w:cs="Arial"/>
          <w:color w:val="auto"/>
          <w:szCs w:val="24"/>
        </w:rPr>
        <w:t xml:space="preserve">di </w:t>
      </w:r>
      <w:r w:rsidR="008115EF" w:rsidRPr="00A90FAE">
        <w:rPr>
          <w:rFonts w:ascii="Calibri" w:hAnsi="Calibri" w:cs="Arial"/>
          <w:color w:val="auto"/>
          <w:szCs w:val="24"/>
        </w:rPr>
        <w:t>affidabilità rispetto agli altri.</w:t>
      </w:r>
      <w:r w:rsidR="001F30D4">
        <w:rPr>
          <w:rFonts w:ascii="Calibri" w:hAnsi="Calibri" w:cs="Arial"/>
          <w:color w:val="auto"/>
          <w:szCs w:val="24"/>
        </w:rPr>
        <w:t xml:space="preserve"> </w:t>
      </w:r>
    </w:p>
    <w:p w:rsidR="00A546DE" w:rsidRDefault="007B10E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L</w:t>
      </w:r>
      <w:r w:rsidR="00DE220C" w:rsidRPr="00A90FAE">
        <w:rPr>
          <w:rFonts w:ascii="Calibri" w:hAnsi="Calibri" w:cs="Arial"/>
          <w:color w:val="auto"/>
          <w:szCs w:val="24"/>
        </w:rPr>
        <w:t xml:space="preserve">’utilizzo degli indici reputazionali </w:t>
      </w:r>
      <w:r w:rsidR="00E45FD9">
        <w:rPr>
          <w:rFonts w:ascii="Calibri" w:hAnsi="Calibri" w:cs="Arial"/>
          <w:color w:val="auto"/>
          <w:szCs w:val="24"/>
        </w:rPr>
        <w:t xml:space="preserve">dovrebbe, </w:t>
      </w:r>
      <w:r w:rsidR="002A00A5" w:rsidRPr="002A00A5">
        <w:rPr>
          <w:rFonts w:ascii="Calibri" w:hAnsi="Calibri" w:cs="Arial"/>
          <w:i/>
          <w:color w:val="auto"/>
          <w:szCs w:val="24"/>
        </w:rPr>
        <w:t>de jure condendo</w:t>
      </w:r>
      <w:r w:rsidR="00E45FD9">
        <w:rPr>
          <w:rFonts w:ascii="Calibri" w:hAnsi="Calibri" w:cs="Arial"/>
          <w:color w:val="auto"/>
          <w:szCs w:val="24"/>
        </w:rPr>
        <w:t>,</w:t>
      </w:r>
      <w:r w:rsidR="00E45FD9" w:rsidRPr="00A90FAE">
        <w:rPr>
          <w:rFonts w:ascii="Calibri" w:hAnsi="Calibri" w:cs="Arial"/>
          <w:color w:val="auto"/>
          <w:szCs w:val="24"/>
        </w:rPr>
        <w:t xml:space="preserve"> </w:t>
      </w:r>
      <w:r w:rsidR="00DE220C" w:rsidRPr="00A90FAE">
        <w:rPr>
          <w:rFonts w:ascii="Calibri" w:hAnsi="Calibri" w:cs="Arial"/>
          <w:color w:val="auto"/>
          <w:szCs w:val="24"/>
        </w:rPr>
        <w:t>consentire alle stazioni appaltanti l’individuazion</w:t>
      </w:r>
      <w:r>
        <w:rPr>
          <w:rFonts w:ascii="Calibri" w:hAnsi="Calibri" w:cs="Arial"/>
          <w:color w:val="auto"/>
          <w:szCs w:val="24"/>
        </w:rPr>
        <w:t>e delle imprese da invitare alle</w:t>
      </w:r>
      <w:r w:rsidR="00DE220C" w:rsidRPr="00A90FAE">
        <w:rPr>
          <w:rFonts w:ascii="Calibri" w:hAnsi="Calibri" w:cs="Arial"/>
          <w:color w:val="auto"/>
          <w:szCs w:val="24"/>
        </w:rPr>
        <w:t xml:space="preserve"> procedure negoziate secondo le previsioni contenute nell’articolo 62 del Codice.</w:t>
      </w:r>
    </w:p>
    <w:p w:rsidR="00A546DE" w:rsidRDefault="008F5775">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S</w:t>
      </w:r>
      <w:r w:rsidR="00061D38">
        <w:rPr>
          <w:rFonts w:ascii="Calibri" w:hAnsi="Calibri" w:cs="Arial"/>
          <w:color w:val="auto"/>
          <w:szCs w:val="24"/>
        </w:rPr>
        <w:t>arebbe</w:t>
      </w:r>
      <w:r>
        <w:rPr>
          <w:rFonts w:ascii="Calibri" w:hAnsi="Calibri" w:cs="Arial"/>
          <w:color w:val="auto"/>
          <w:szCs w:val="24"/>
        </w:rPr>
        <w:t>, altresì,</w:t>
      </w:r>
      <w:r w:rsidR="00061D38">
        <w:rPr>
          <w:rFonts w:ascii="Calibri" w:hAnsi="Calibri" w:cs="Arial"/>
          <w:color w:val="auto"/>
          <w:szCs w:val="24"/>
        </w:rPr>
        <w:t xml:space="preserve"> opportuno eliminare l’attuale restrizione dell’utilizzo della forcella, prevista dal citato art</w:t>
      </w:r>
      <w:r>
        <w:rPr>
          <w:rFonts w:ascii="Calibri" w:hAnsi="Calibri" w:cs="Arial"/>
          <w:color w:val="auto"/>
          <w:szCs w:val="24"/>
        </w:rPr>
        <w:t xml:space="preserve">icolo </w:t>
      </w:r>
      <w:r w:rsidR="00061D38">
        <w:rPr>
          <w:rFonts w:ascii="Calibri" w:hAnsi="Calibri" w:cs="Arial"/>
          <w:color w:val="auto"/>
          <w:szCs w:val="24"/>
        </w:rPr>
        <w:t xml:space="preserve">62 del Codice, alle </w:t>
      </w:r>
      <w:r w:rsidR="00D508F6">
        <w:rPr>
          <w:rFonts w:ascii="Calibri" w:hAnsi="Calibri" w:cs="Arial"/>
          <w:color w:val="auto"/>
          <w:szCs w:val="24"/>
        </w:rPr>
        <w:t xml:space="preserve">sole </w:t>
      </w:r>
      <w:r w:rsidR="00061D38">
        <w:rPr>
          <w:rFonts w:ascii="Calibri" w:hAnsi="Calibri" w:cs="Arial"/>
          <w:color w:val="auto"/>
          <w:szCs w:val="24"/>
        </w:rPr>
        <w:t xml:space="preserve">procedure ristrette per consentire l’adozione del sistema reputazionale per l’invito delle </w:t>
      </w:r>
      <w:r w:rsidR="000C2FD6">
        <w:rPr>
          <w:rFonts w:ascii="Calibri" w:hAnsi="Calibri" w:cs="Arial"/>
          <w:color w:val="auto"/>
          <w:szCs w:val="24"/>
        </w:rPr>
        <w:t xml:space="preserve">imprese </w:t>
      </w:r>
      <w:r w:rsidR="00061D38">
        <w:rPr>
          <w:rFonts w:ascii="Calibri" w:hAnsi="Calibri" w:cs="Arial"/>
          <w:color w:val="auto"/>
          <w:szCs w:val="24"/>
        </w:rPr>
        <w:t xml:space="preserve">alle gare.  </w:t>
      </w:r>
    </w:p>
    <w:p w:rsidR="00A546DE" w:rsidRDefault="00061D38">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Sempre ai fini della elaborazione degli indici reputazionali, è opportuno tener conto anche della rilevazione dei protesti da effettuarsi tramite </w:t>
      </w:r>
      <w:r w:rsidRPr="009020A2">
        <w:rPr>
          <w:rFonts w:ascii="Calibri" w:hAnsi="Calibri" w:cs="Arial"/>
          <w:color w:val="auto"/>
          <w:szCs w:val="24"/>
        </w:rPr>
        <w:t xml:space="preserve">visure presso le  CCIAA </w:t>
      </w:r>
      <w:r>
        <w:rPr>
          <w:rFonts w:ascii="Calibri" w:hAnsi="Calibri" w:cs="Arial"/>
          <w:color w:val="auto"/>
          <w:szCs w:val="24"/>
        </w:rPr>
        <w:t>e della mancata stipula del contratto tra le notizie da inserire nel Casellario.</w:t>
      </w:r>
    </w:p>
    <w:p w:rsidR="007B10E0" w:rsidRDefault="007B10E0">
      <w:pPr>
        <w:pStyle w:val="Corpodeltesto"/>
        <w:tabs>
          <w:tab w:val="left" w:pos="426"/>
        </w:tabs>
        <w:spacing w:line="360" w:lineRule="auto"/>
        <w:ind w:left="426" w:right="567"/>
        <w:jc w:val="both"/>
        <w:rPr>
          <w:rFonts w:ascii="Calibri" w:hAnsi="Calibri" w:cs="Arial"/>
          <w:color w:val="auto"/>
          <w:szCs w:val="24"/>
        </w:rPr>
      </w:pPr>
    </w:p>
    <w:p w:rsidR="00061D38" w:rsidRDefault="00061D38" w:rsidP="00061D38">
      <w:pPr>
        <w:numPr>
          <w:ilvl w:val="0"/>
          <w:numId w:val="7"/>
        </w:numPr>
        <w:spacing w:line="360" w:lineRule="auto"/>
        <w:jc w:val="both"/>
        <w:rPr>
          <w:rFonts w:ascii="Calibri" w:hAnsi="Calibri" w:cs="Arial"/>
          <w:b/>
          <w:color w:val="auto"/>
          <w:szCs w:val="24"/>
        </w:rPr>
      </w:pPr>
      <w:r w:rsidRPr="00AE391B">
        <w:rPr>
          <w:rFonts w:ascii="Calibri" w:hAnsi="Calibri" w:cs="Arial"/>
          <w:b/>
          <w:color w:val="auto"/>
          <w:szCs w:val="24"/>
        </w:rPr>
        <w:t xml:space="preserve">Conclusioni </w:t>
      </w:r>
    </w:p>
    <w:p w:rsidR="00D508F6" w:rsidRPr="00D508F6" w:rsidRDefault="00D508F6" w:rsidP="00D508F6">
      <w:pPr>
        <w:pStyle w:val="Corpodeltesto"/>
        <w:tabs>
          <w:tab w:val="left" w:pos="426"/>
        </w:tabs>
        <w:spacing w:line="360" w:lineRule="auto"/>
        <w:ind w:left="426" w:right="567"/>
        <w:jc w:val="both"/>
        <w:rPr>
          <w:rFonts w:ascii="Calibri" w:hAnsi="Calibri" w:cs="Arial"/>
          <w:color w:val="auto"/>
          <w:szCs w:val="24"/>
        </w:rPr>
      </w:pPr>
      <w:r w:rsidRPr="00D508F6">
        <w:rPr>
          <w:rFonts w:ascii="Calibri" w:hAnsi="Calibri" w:cs="Arial"/>
          <w:color w:val="auto"/>
          <w:szCs w:val="24"/>
        </w:rPr>
        <w:t xml:space="preserve">I recenti interventi nei documenti di programmazione economica e finanziaria nonché le </w:t>
      </w:r>
      <w:r>
        <w:rPr>
          <w:rFonts w:ascii="Calibri" w:hAnsi="Calibri" w:cs="Arial"/>
          <w:color w:val="auto"/>
          <w:szCs w:val="24"/>
        </w:rPr>
        <w:t xml:space="preserve">le esigenze espresse </w:t>
      </w:r>
      <w:r w:rsidRPr="00D508F6">
        <w:rPr>
          <w:rFonts w:ascii="Calibri" w:hAnsi="Calibri" w:cs="Arial"/>
          <w:color w:val="auto"/>
          <w:szCs w:val="24"/>
        </w:rPr>
        <w:t>d</w:t>
      </w:r>
      <w:r>
        <w:rPr>
          <w:rFonts w:ascii="Calibri" w:hAnsi="Calibri" w:cs="Arial"/>
          <w:color w:val="auto"/>
          <w:szCs w:val="24"/>
        </w:rPr>
        <w:t>a</w:t>
      </w:r>
      <w:r w:rsidRPr="00D508F6">
        <w:rPr>
          <w:rFonts w:ascii="Calibri" w:hAnsi="Calibri" w:cs="Arial"/>
          <w:color w:val="auto"/>
          <w:szCs w:val="24"/>
        </w:rPr>
        <w:t>l mondo imprenditoriale evidenziano la necessità di una rivisitazione dell’attuale sistema di qualificazione per la dimostrazione dei requisiti delle imprese nell’affidamento degli appalti pubblici di lavori, servizi e forniture. In particolare, è avvertita dagli operatori economici l</w:t>
      </w:r>
      <w:r w:rsidR="007B10E0">
        <w:rPr>
          <w:rFonts w:ascii="Calibri" w:hAnsi="Calibri" w:cs="Arial"/>
          <w:color w:val="auto"/>
          <w:szCs w:val="24"/>
        </w:rPr>
        <w:t>’esigenza</w:t>
      </w:r>
      <w:r w:rsidRPr="00D508F6">
        <w:rPr>
          <w:rFonts w:ascii="Calibri" w:hAnsi="Calibri" w:cs="Arial"/>
          <w:color w:val="auto"/>
          <w:szCs w:val="24"/>
        </w:rPr>
        <w:t xml:space="preserve"> di far conoscere la propria “reputazione” alle stazioni appaltanti</w:t>
      </w:r>
      <w:r w:rsidR="007B10E0">
        <w:rPr>
          <w:rFonts w:ascii="Calibri" w:hAnsi="Calibri" w:cs="Arial"/>
          <w:color w:val="auto"/>
          <w:szCs w:val="24"/>
        </w:rPr>
        <w:t xml:space="preserve"> </w:t>
      </w:r>
      <w:r w:rsidRPr="00D508F6">
        <w:rPr>
          <w:rFonts w:ascii="Calibri" w:hAnsi="Calibri" w:cs="Arial"/>
          <w:color w:val="auto"/>
          <w:szCs w:val="24"/>
        </w:rPr>
        <w:t>attraverso l’introduzione di criteri che possano costituire veri e propri strumenti di verifica delle capacità tecnico-organizzative e dell’affidabilità</w:t>
      </w:r>
      <w:r w:rsidR="00FD1032">
        <w:rPr>
          <w:rFonts w:ascii="Calibri" w:hAnsi="Calibri" w:cs="Arial"/>
          <w:color w:val="auto"/>
          <w:szCs w:val="24"/>
        </w:rPr>
        <w:t xml:space="preserve"> degli operatori</w:t>
      </w:r>
      <w:r w:rsidRPr="00D508F6">
        <w:rPr>
          <w:rFonts w:ascii="Calibri" w:hAnsi="Calibri" w:cs="Arial"/>
          <w:color w:val="auto"/>
          <w:szCs w:val="24"/>
        </w:rPr>
        <w:t xml:space="preserve">. </w:t>
      </w:r>
    </w:p>
    <w:p w:rsidR="008E3AA0" w:rsidRPr="00647FDD" w:rsidRDefault="008E3AA0" w:rsidP="008E3AA0">
      <w:pPr>
        <w:pStyle w:val="Corpodeltesto"/>
        <w:tabs>
          <w:tab w:val="left" w:pos="426"/>
        </w:tabs>
        <w:spacing w:line="360" w:lineRule="auto"/>
        <w:ind w:left="426" w:right="567"/>
        <w:jc w:val="both"/>
        <w:rPr>
          <w:rFonts w:ascii="Calibri" w:hAnsi="Calibri" w:cs="Arial"/>
          <w:color w:val="auto"/>
          <w:szCs w:val="24"/>
        </w:rPr>
      </w:pPr>
      <w:r w:rsidRPr="003E76C7">
        <w:rPr>
          <w:rFonts w:ascii="Calibri" w:hAnsi="Calibri" w:cs="Arial"/>
          <w:color w:val="auto"/>
          <w:szCs w:val="24"/>
        </w:rPr>
        <w:t xml:space="preserve">Le attuali disposizioni normative </w:t>
      </w:r>
      <w:r w:rsidR="00DD0484">
        <w:rPr>
          <w:rFonts w:ascii="Calibri" w:hAnsi="Calibri" w:cs="Arial"/>
          <w:color w:val="auto"/>
          <w:szCs w:val="24"/>
        </w:rPr>
        <w:t>prevedono, per i lavori, l’invio, a conclusione dell’appalto, della relazione dettagliata sul c</w:t>
      </w:r>
      <w:r w:rsidRPr="003E76C7">
        <w:rPr>
          <w:rFonts w:ascii="Calibri" w:hAnsi="Calibri" w:cs="Arial"/>
          <w:color w:val="auto"/>
          <w:szCs w:val="24"/>
        </w:rPr>
        <w:t>omportamento delle imprese</w:t>
      </w:r>
      <w:r w:rsidR="00DD0484">
        <w:rPr>
          <w:rFonts w:ascii="Calibri" w:hAnsi="Calibri" w:cs="Arial"/>
          <w:color w:val="auto"/>
          <w:szCs w:val="24"/>
        </w:rPr>
        <w:t>,</w:t>
      </w:r>
      <w:r w:rsidRPr="003E76C7">
        <w:rPr>
          <w:rFonts w:ascii="Calibri" w:hAnsi="Calibri" w:cs="Arial"/>
          <w:color w:val="auto"/>
          <w:szCs w:val="24"/>
        </w:rPr>
        <w:t xml:space="preserve"> </w:t>
      </w:r>
      <w:r w:rsidR="00DD0484">
        <w:rPr>
          <w:rFonts w:ascii="Calibri" w:hAnsi="Calibri" w:cs="Arial"/>
          <w:color w:val="auto"/>
          <w:szCs w:val="24"/>
        </w:rPr>
        <w:t xml:space="preserve">sulla base </w:t>
      </w:r>
      <w:r w:rsidR="00647FDD">
        <w:rPr>
          <w:rFonts w:ascii="Calibri" w:hAnsi="Calibri" w:cs="Arial"/>
          <w:color w:val="auto"/>
          <w:szCs w:val="24"/>
        </w:rPr>
        <w:lastRenderedPageBreak/>
        <w:t xml:space="preserve">dello schema </w:t>
      </w:r>
      <w:r w:rsidR="00DD0484" w:rsidRPr="003E76C7">
        <w:rPr>
          <w:rFonts w:ascii="Calibri" w:hAnsi="Calibri" w:cs="Arial"/>
          <w:color w:val="auto"/>
          <w:szCs w:val="24"/>
        </w:rPr>
        <w:t>di rilevazione dati</w:t>
      </w:r>
      <w:r w:rsidR="00647FDD">
        <w:rPr>
          <w:rFonts w:ascii="Calibri" w:hAnsi="Calibri" w:cs="Arial"/>
          <w:color w:val="auto"/>
          <w:szCs w:val="24"/>
        </w:rPr>
        <w:t xml:space="preserve"> elaborato</w:t>
      </w:r>
      <w:r w:rsidR="00DD0484">
        <w:rPr>
          <w:rFonts w:ascii="Calibri" w:hAnsi="Calibri" w:cs="Arial"/>
          <w:color w:val="auto"/>
          <w:szCs w:val="24"/>
        </w:rPr>
        <w:t xml:space="preserve"> dall’Autorità,</w:t>
      </w:r>
      <w:r w:rsidR="00DD0484" w:rsidRPr="003E76C7">
        <w:rPr>
          <w:rFonts w:ascii="Calibri" w:hAnsi="Calibri" w:cs="Arial"/>
          <w:color w:val="auto"/>
          <w:szCs w:val="24"/>
        </w:rPr>
        <w:t xml:space="preserve"> </w:t>
      </w:r>
      <w:r w:rsidR="00647FDD">
        <w:rPr>
          <w:rFonts w:ascii="Calibri" w:hAnsi="Calibri" w:cs="Arial"/>
          <w:color w:val="auto"/>
          <w:szCs w:val="24"/>
        </w:rPr>
        <w:t>per l</w:t>
      </w:r>
      <w:r w:rsidRPr="003E76C7">
        <w:rPr>
          <w:rFonts w:ascii="Calibri" w:hAnsi="Calibri" w:cs="Arial"/>
          <w:color w:val="auto"/>
          <w:szCs w:val="24"/>
        </w:rPr>
        <w:t>a tenuta del Casellario Informatico</w:t>
      </w:r>
      <w:r w:rsidR="00DD0484">
        <w:rPr>
          <w:rFonts w:ascii="Calibri" w:hAnsi="Calibri" w:cs="Arial"/>
          <w:color w:val="auto"/>
          <w:szCs w:val="24"/>
        </w:rPr>
        <w:t xml:space="preserve"> </w:t>
      </w:r>
      <w:r w:rsidR="00647FDD" w:rsidRPr="00647FDD">
        <w:rPr>
          <w:rFonts w:ascii="Calibri" w:hAnsi="Calibri" w:cs="Arial"/>
          <w:color w:val="auto"/>
          <w:szCs w:val="24"/>
        </w:rPr>
        <w:t>al fine di consentire a tutte le stazioni appaltanti</w:t>
      </w:r>
      <w:r w:rsidR="00647FDD" w:rsidRPr="009D0F6E">
        <w:rPr>
          <w:rFonts w:ascii="Calibri" w:hAnsi="Calibri" w:cs="Arial"/>
          <w:i/>
          <w:color w:val="auto"/>
          <w:szCs w:val="24"/>
        </w:rPr>
        <w:t xml:space="preserve"> </w:t>
      </w:r>
      <w:r w:rsidR="00647FDD" w:rsidRPr="00647FDD">
        <w:rPr>
          <w:rFonts w:ascii="Calibri" w:hAnsi="Calibri" w:cs="Arial"/>
          <w:color w:val="auto"/>
          <w:szCs w:val="24"/>
        </w:rPr>
        <w:t xml:space="preserve">di avere conoscenza di tutti gli elementi necessari  </w:t>
      </w:r>
      <w:r w:rsidR="002F1ABF">
        <w:rPr>
          <w:rFonts w:ascii="Calibri" w:hAnsi="Calibri" w:cs="Arial"/>
          <w:color w:val="auto"/>
          <w:szCs w:val="24"/>
        </w:rPr>
        <w:t>nelle procedure di aggiudicazione</w:t>
      </w:r>
      <w:r w:rsidR="00647FDD">
        <w:rPr>
          <w:rFonts w:ascii="Calibri" w:hAnsi="Calibri" w:cs="Arial"/>
          <w:color w:val="auto"/>
          <w:szCs w:val="24"/>
        </w:rPr>
        <w:t>.</w:t>
      </w:r>
    </w:p>
    <w:p w:rsidR="00D508F6" w:rsidRPr="00D508F6" w:rsidRDefault="00D508F6" w:rsidP="008E3AA0">
      <w:pPr>
        <w:pStyle w:val="Corpodeltesto"/>
        <w:tabs>
          <w:tab w:val="left" w:pos="426"/>
        </w:tabs>
        <w:spacing w:line="360" w:lineRule="auto"/>
        <w:ind w:left="426" w:right="567"/>
        <w:jc w:val="both"/>
        <w:rPr>
          <w:rFonts w:ascii="Calibri" w:hAnsi="Calibri" w:cs="Arial"/>
          <w:color w:val="auto"/>
          <w:szCs w:val="24"/>
        </w:rPr>
      </w:pPr>
      <w:r w:rsidRPr="00D508F6">
        <w:rPr>
          <w:rFonts w:ascii="Calibri" w:hAnsi="Calibri" w:cs="Arial"/>
          <w:color w:val="auto"/>
          <w:szCs w:val="24"/>
        </w:rPr>
        <w:t xml:space="preserve">La costruzione di meccanismi cosidetti reputazionali, come si è avuto modo di illustrare, risulta difficoltosa e richiede la raccolta di una serie di informazioni di natura oggettiva e soggettiva circa la conduzione degli appalti da parte </w:t>
      </w:r>
      <w:r w:rsidR="007B10E0">
        <w:rPr>
          <w:rFonts w:ascii="Calibri" w:hAnsi="Calibri" w:cs="Arial"/>
          <w:color w:val="auto"/>
          <w:szCs w:val="24"/>
        </w:rPr>
        <w:t>degli oepratori economici.</w:t>
      </w:r>
    </w:p>
    <w:p w:rsidR="00D508F6" w:rsidRDefault="008E3AA0" w:rsidP="00D508F6">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I</w:t>
      </w:r>
      <w:r w:rsidR="00D508F6" w:rsidRPr="00D508F6">
        <w:rPr>
          <w:rFonts w:ascii="Calibri" w:hAnsi="Calibri" w:cs="Arial"/>
          <w:color w:val="auto"/>
          <w:szCs w:val="24"/>
        </w:rPr>
        <w:t xml:space="preserve">n relazione a ciò, </w:t>
      </w:r>
      <w:r w:rsidR="00D35E42">
        <w:rPr>
          <w:rFonts w:ascii="Calibri" w:hAnsi="Calibri" w:cs="Arial"/>
          <w:color w:val="auto"/>
          <w:szCs w:val="24"/>
        </w:rPr>
        <w:t>sono stati preliminarmente elaborati</w:t>
      </w:r>
      <w:r w:rsidR="002F1ABF">
        <w:rPr>
          <w:rFonts w:ascii="Calibri" w:hAnsi="Calibri" w:cs="Arial"/>
          <w:color w:val="auto"/>
          <w:szCs w:val="24"/>
        </w:rPr>
        <w:t xml:space="preserve"> due schemi di relazione sul comportamento delle imprese - una per lavori e </w:t>
      </w:r>
      <w:r w:rsidR="00D35E42">
        <w:rPr>
          <w:rFonts w:ascii="Calibri" w:hAnsi="Calibri" w:cs="Arial"/>
          <w:color w:val="auto"/>
          <w:szCs w:val="24"/>
        </w:rPr>
        <w:t xml:space="preserve">una per servizi e forniture - ai fini della </w:t>
      </w:r>
      <w:r w:rsidR="00D508F6" w:rsidRPr="00D508F6">
        <w:rPr>
          <w:rFonts w:ascii="Calibri" w:hAnsi="Calibri" w:cs="Arial"/>
          <w:color w:val="auto"/>
          <w:szCs w:val="24"/>
        </w:rPr>
        <w:t>elaborazione di meccanismi ed indici reputazionali, nonché per la predisposizione di linee guida per l’utilizzo dei criteri reputazionali da parte delle stazioni appaltanti.</w:t>
      </w:r>
    </w:p>
    <w:p w:rsidR="007371C6" w:rsidRDefault="007371C6" w:rsidP="00D508F6">
      <w:pPr>
        <w:pStyle w:val="Corpodeltesto"/>
        <w:tabs>
          <w:tab w:val="left" w:pos="426"/>
        </w:tabs>
        <w:spacing w:line="360" w:lineRule="auto"/>
        <w:ind w:left="426" w:right="567"/>
        <w:jc w:val="both"/>
        <w:rPr>
          <w:rFonts w:ascii="Calibri" w:hAnsi="Calibri" w:cs="Arial"/>
          <w:color w:val="auto"/>
          <w:szCs w:val="24"/>
        </w:rPr>
      </w:pPr>
    </w:p>
    <w:p w:rsidR="007371C6" w:rsidRDefault="007B10E0" w:rsidP="007B10E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Allegati: </w:t>
      </w:r>
    </w:p>
    <w:p w:rsidR="007371C6" w:rsidRDefault="007B10E0" w:rsidP="007B10E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a) Bozza di relazione dettagliata per lavori pubblici;</w:t>
      </w:r>
    </w:p>
    <w:p w:rsidR="007B10E0" w:rsidRPr="005579F6" w:rsidRDefault="007B10E0" w:rsidP="007B10E0">
      <w:pPr>
        <w:pStyle w:val="Corpodeltesto"/>
        <w:tabs>
          <w:tab w:val="left" w:pos="426"/>
        </w:tabs>
        <w:spacing w:line="360" w:lineRule="auto"/>
        <w:ind w:left="426" w:right="567"/>
        <w:jc w:val="both"/>
        <w:rPr>
          <w:rFonts w:ascii="Calibri" w:hAnsi="Calibri" w:cs="Arial"/>
          <w:color w:val="auto"/>
          <w:szCs w:val="24"/>
        </w:rPr>
      </w:pPr>
      <w:r>
        <w:rPr>
          <w:rFonts w:ascii="Calibri" w:hAnsi="Calibri" w:cs="Arial"/>
          <w:color w:val="auto"/>
          <w:szCs w:val="24"/>
        </w:rPr>
        <w:t xml:space="preserve"> b) Bozza di relazione dettagliata per servizi e forniture.</w:t>
      </w:r>
    </w:p>
    <w:p w:rsidR="000378C0" w:rsidRDefault="000378C0" w:rsidP="007B10E0">
      <w:pPr>
        <w:pStyle w:val="Corpodeltesto"/>
        <w:tabs>
          <w:tab w:val="left" w:pos="426"/>
        </w:tabs>
        <w:spacing w:line="360" w:lineRule="auto"/>
        <w:ind w:right="567"/>
        <w:jc w:val="center"/>
        <w:rPr>
          <w:rFonts w:ascii="Calibri" w:hAnsi="Calibri" w:cs="Arial"/>
          <w:color w:val="auto"/>
          <w:szCs w:val="24"/>
        </w:rPr>
      </w:pPr>
    </w:p>
    <w:sectPr w:rsidR="000378C0" w:rsidSect="002D0368">
      <w:headerReference w:type="default" r:id="rId7"/>
      <w:footerReference w:type="default" r:id="rId8"/>
      <w:headerReference w:type="first" r:id="rId9"/>
      <w:footerReference w:type="first" r:id="rId10"/>
      <w:pgSz w:w="11906" w:h="16838"/>
      <w:pgMar w:top="1417" w:right="1134" w:bottom="1134" w:left="113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AA4" w:rsidRDefault="00C33AA4" w:rsidP="007754EE">
      <w:r>
        <w:separator/>
      </w:r>
    </w:p>
  </w:endnote>
  <w:endnote w:type="continuationSeparator" w:id="1">
    <w:p w:rsidR="00C33AA4" w:rsidRDefault="00C33AA4" w:rsidP="007754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Kunstler Script">
    <w:panose1 w:val="030304020206070D0D06"/>
    <w:charset w:val="00"/>
    <w:family w:val="script"/>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97" w:type="dxa"/>
      <w:tblBorders>
        <w:top w:val="single" w:sz="6" w:space="0" w:color="A6A6A6"/>
      </w:tblBorders>
      <w:tblLook w:val="0600"/>
    </w:tblPr>
    <w:tblGrid>
      <w:gridCol w:w="2732"/>
      <w:gridCol w:w="4110"/>
      <w:gridCol w:w="2124"/>
    </w:tblGrid>
    <w:tr w:rsidR="00DD0484" w:rsidRPr="00841CCF">
      <w:trPr>
        <w:jc w:val="center"/>
      </w:trPr>
      <w:tc>
        <w:tcPr>
          <w:tcW w:w="2732" w:type="dxa"/>
          <w:shd w:val="clear" w:color="auto" w:fill="auto"/>
          <w:vAlign w:val="center"/>
        </w:tcPr>
        <w:p w:rsidR="00DD0484" w:rsidRPr="00841CCF" w:rsidRDefault="00DD0484" w:rsidP="00FD69E0">
          <w:pPr>
            <w:keepNext/>
            <w:keepLines/>
            <w:tabs>
              <w:tab w:val="left" w:pos="9896"/>
            </w:tabs>
            <w:rPr>
              <w:rFonts w:ascii="Calibri" w:hAnsi="Calibri"/>
              <w:color w:val="2F4B57"/>
              <w:sz w:val="18"/>
              <w:szCs w:val="18"/>
            </w:rPr>
          </w:pPr>
          <w:r>
            <w:rPr>
              <w:rFonts w:ascii="Calibri" w:hAnsi="Calibri"/>
              <w:color w:val="2F4B57"/>
              <w:sz w:val="18"/>
              <w:szCs w:val="18"/>
            </w:rPr>
            <w:t>OSAM/UPPR</w:t>
          </w:r>
        </w:p>
      </w:tc>
      <w:tc>
        <w:tcPr>
          <w:tcW w:w="4110" w:type="dxa"/>
          <w:shd w:val="clear" w:color="auto" w:fill="auto"/>
          <w:vAlign w:val="center"/>
        </w:tcPr>
        <w:p w:rsidR="00DD0484" w:rsidRPr="00841CCF" w:rsidRDefault="00DD0484" w:rsidP="00F64393">
          <w:pPr>
            <w:keepNext/>
            <w:keepLines/>
            <w:tabs>
              <w:tab w:val="left" w:pos="9896"/>
            </w:tabs>
            <w:jc w:val="center"/>
            <w:rPr>
              <w:rFonts w:ascii="Calibri" w:hAnsi="Calibri"/>
              <w:i/>
              <w:noProof w:val="0"/>
              <w:color w:val="2F4B57"/>
              <w:spacing w:val="2"/>
              <w:sz w:val="18"/>
              <w:szCs w:val="18"/>
            </w:rPr>
          </w:pPr>
          <w:r w:rsidRPr="00841CCF">
            <w:rPr>
              <w:rFonts w:ascii="Calibri" w:hAnsi="Calibri"/>
              <w:color w:val="2F4B57"/>
              <w:sz w:val="18"/>
              <w:szCs w:val="18"/>
            </w:rPr>
            <w:br/>
            <w:t xml:space="preserve">classificazione privacy    </w:t>
          </w:r>
          <w:r w:rsidRPr="00841CCF">
            <w:rPr>
              <w:rFonts w:ascii="Calibri" w:hAnsi="Calibri"/>
              <w:color w:val="2F4B57"/>
              <w:sz w:val="18"/>
              <w:szCs w:val="18"/>
            </w:rPr>
            <w:br/>
            <w:t xml:space="preserve">  </w:t>
          </w:r>
          <w:r w:rsidRPr="00841CCF">
            <w:rPr>
              <w:rFonts w:ascii="Calibri" w:hAnsi="Calibri"/>
              <w:i/>
              <w:noProof w:val="0"/>
              <w:color w:val="2F4B57"/>
              <w:spacing w:val="2"/>
              <w:sz w:val="18"/>
              <w:szCs w:val="18"/>
            </w:rPr>
            <w:t>XXXXXXX</w:t>
          </w:r>
        </w:p>
      </w:tc>
      <w:tc>
        <w:tcPr>
          <w:tcW w:w="2124" w:type="dxa"/>
          <w:shd w:val="clear" w:color="auto" w:fill="auto"/>
          <w:vAlign w:val="center"/>
        </w:tcPr>
        <w:p w:rsidR="00DD0484" w:rsidRPr="00841CCF" w:rsidRDefault="00F63177" w:rsidP="00F64393">
          <w:pPr>
            <w:keepNext/>
            <w:keepLines/>
            <w:tabs>
              <w:tab w:val="left" w:pos="9896"/>
            </w:tabs>
            <w:jc w:val="right"/>
            <w:rPr>
              <w:rFonts w:ascii="Calibri" w:hAnsi="Calibri"/>
              <w:color w:val="2F4B57"/>
              <w:sz w:val="18"/>
              <w:szCs w:val="18"/>
            </w:rPr>
          </w:pPr>
          <w:r w:rsidRPr="00841CCF">
            <w:rPr>
              <w:rFonts w:ascii="Calibri" w:hAnsi="Calibri"/>
              <w:color w:val="2F4B57"/>
              <w:sz w:val="18"/>
              <w:szCs w:val="18"/>
            </w:rPr>
            <w:fldChar w:fldCharType="begin"/>
          </w:r>
          <w:r w:rsidR="00DD0484" w:rsidRPr="00841CCF">
            <w:rPr>
              <w:rFonts w:ascii="Calibri" w:hAnsi="Calibri"/>
              <w:color w:val="2F4B57"/>
              <w:sz w:val="18"/>
              <w:szCs w:val="18"/>
            </w:rPr>
            <w:instrText xml:space="preserve"> PAGE    \* MERGEFORMAT </w:instrText>
          </w:r>
          <w:r w:rsidRPr="00841CCF">
            <w:rPr>
              <w:rFonts w:ascii="Calibri" w:hAnsi="Calibri"/>
              <w:color w:val="2F4B57"/>
              <w:sz w:val="18"/>
              <w:szCs w:val="18"/>
            </w:rPr>
            <w:fldChar w:fldCharType="separate"/>
          </w:r>
          <w:r w:rsidR="005D0ABD">
            <w:rPr>
              <w:rFonts w:ascii="Calibri" w:hAnsi="Calibri"/>
              <w:color w:val="2F4B57"/>
              <w:sz w:val="18"/>
              <w:szCs w:val="18"/>
            </w:rPr>
            <w:t>2</w:t>
          </w:r>
          <w:r w:rsidRPr="00841CCF">
            <w:rPr>
              <w:rFonts w:ascii="Calibri" w:hAnsi="Calibri"/>
              <w:color w:val="2F4B57"/>
              <w:sz w:val="18"/>
              <w:szCs w:val="18"/>
            </w:rPr>
            <w:fldChar w:fldCharType="end"/>
          </w:r>
          <w:r w:rsidR="00DD0484" w:rsidRPr="00841CCF">
            <w:rPr>
              <w:rFonts w:ascii="Calibri" w:hAnsi="Calibri"/>
              <w:color w:val="2F4B57"/>
              <w:sz w:val="18"/>
              <w:szCs w:val="18"/>
            </w:rPr>
            <w:t xml:space="preserve"> di </w:t>
          </w:r>
          <w:fldSimple w:instr=" NUMPAGES  \* Arabic  \* MERGEFORMAT ">
            <w:r w:rsidR="005D0ABD" w:rsidRPr="005D0ABD">
              <w:rPr>
                <w:rFonts w:ascii="Calibri" w:hAnsi="Calibri"/>
                <w:color w:val="2F4B57"/>
                <w:sz w:val="18"/>
                <w:szCs w:val="18"/>
              </w:rPr>
              <w:t>17</w:t>
            </w:r>
          </w:fldSimple>
        </w:p>
      </w:tc>
    </w:tr>
  </w:tbl>
  <w:p w:rsidR="00DD0484" w:rsidRPr="00813556" w:rsidRDefault="00DD0484" w:rsidP="005F6B2F">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84" w:rsidRDefault="00DD0484"/>
  <w:tbl>
    <w:tblPr>
      <w:tblW w:w="0" w:type="auto"/>
      <w:tblLook w:val="04A0"/>
    </w:tblPr>
    <w:tblGrid>
      <w:gridCol w:w="3259"/>
      <w:gridCol w:w="3259"/>
      <w:gridCol w:w="3260"/>
    </w:tblGrid>
    <w:tr w:rsidR="00DD0484" w:rsidRPr="00461A56">
      <w:tc>
        <w:tcPr>
          <w:tcW w:w="3259" w:type="dxa"/>
        </w:tcPr>
        <w:p w:rsidR="00DD0484" w:rsidRPr="00423BD9" w:rsidRDefault="00DD0484">
          <w:pPr>
            <w:rPr>
              <w:szCs w:val="24"/>
            </w:rPr>
          </w:pPr>
        </w:p>
      </w:tc>
      <w:tc>
        <w:tcPr>
          <w:tcW w:w="3259" w:type="dxa"/>
        </w:tcPr>
        <w:p w:rsidR="00DD0484" w:rsidRPr="00423BD9" w:rsidRDefault="00DD0484">
          <w:pPr>
            <w:rPr>
              <w:szCs w:val="24"/>
            </w:rPr>
          </w:pPr>
        </w:p>
      </w:tc>
      <w:tc>
        <w:tcPr>
          <w:tcW w:w="3260" w:type="dxa"/>
        </w:tcPr>
        <w:p w:rsidR="00DD0484" w:rsidRPr="00423BD9" w:rsidRDefault="00DD0484">
          <w:pPr>
            <w:rPr>
              <w:szCs w:val="24"/>
            </w:rPr>
          </w:pPr>
        </w:p>
      </w:tc>
    </w:tr>
  </w:tbl>
  <w:p w:rsidR="00DD0484" w:rsidRDefault="00DD048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AA4" w:rsidRDefault="00C33AA4" w:rsidP="007754EE">
      <w:r>
        <w:separator/>
      </w:r>
    </w:p>
  </w:footnote>
  <w:footnote w:type="continuationSeparator" w:id="1">
    <w:p w:rsidR="00C33AA4" w:rsidRDefault="00C33AA4" w:rsidP="007754EE">
      <w:r>
        <w:continuationSeparator/>
      </w:r>
    </w:p>
  </w:footnote>
  <w:footnote w:id="2">
    <w:p w:rsidR="00DD0484" w:rsidRDefault="00DD0484">
      <w:pPr>
        <w:pStyle w:val="Testonotaapidipagina"/>
        <w:jc w:val="both"/>
        <w:rPr>
          <w:rFonts w:ascii="Calibri" w:hAnsi="Calibri"/>
        </w:rPr>
      </w:pPr>
      <w:r>
        <w:rPr>
          <w:rStyle w:val="Rimandonotaapidipagina"/>
        </w:rPr>
        <w:footnoteRef/>
      </w:r>
      <w:r>
        <w:t xml:space="preserve"> </w:t>
      </w:r>
      <w:r w:rsidRPr="002A00A5">
        <w:rPr>
          <w:rFonts w:ascii="Calibri" w:hAnsi="Calibri"/>
        </w:rPr>
        <w:t>Trattasi in particolare delle seguenti informazioni (</w:t>
      </w:r>
      <w:r>
        <w:rPr>
          <w:rFonts w:ascii="Calibri" w:hAnsi="Calibri"/>
        </w:rPr>
        <w:t xml:space="preserve">articolo 27, comma 2, lettere da f a t): 1) </w:t>
      </w:r>
      <w:r w:rsidRPr="00BB4417">
        <w:rPr>
          <w:rFonts w:ascii="Calibri" w:hAnsi="Calibri"/>
        </w:rPr>
        <w:t xml:space="preserve">cifra di affari in lavori realizzata nel quinquennio precedente la data dell'ultima attestazione conseguita; </w:t>
      </w:r>
      <w:r>
        <w:rPr>
          <w:rFonts w:ascii="Calibri" w:hAnsi="Calibri"/>
        </w:rPr>
        <w:t xml:space="preserve"> 2) </w:t>
      </w:r>
      <w:r w:rsidRPr="00BB4417">
        <w:rPr>
          <w:rFonts w:ascii="Calibri" w:hAnsi="Calibri"/>
        </w:rPr>
        <w:t>costo del personale sostenuto nel quinquennio precedente la data dell'ultima qualificazione conseguita, con indicazione specifica del costo relativo al personale operaio, tecnico, diplom</w:t>
      </w:r>
      <w:r>
        <w:rPr>
          <w:rFonts w:ascii="Calibri" w:hAnsi="Calibri"/>
        </w:rPr>
        <w:t xml:space="preserve">ato o laureato; 3) </w:t>
      </w:r>
      <w:r w:rsidRPr="00BB4417">
        <w:rPr>
          <w:rFonts w:ascii="Calibri" w:hAnsi="Calibri"/>
        </w:rPr>
        <w:t>costo degli ammortamenti tecnici, degli ammortamenti figurativi e dei canoni per attrezzatura tecnica sostenuto nel quinquennio precedente la data dell'ult</w:t>
      </w:r>
      <w:r>
        <w:rPr>
          <w:rFonts w:ascii="Calibri" w:hAnsi="Calibri"/>
        </w:rPr>
        <w:t xml:space="preserve">ima qualificazione conseguita; 4) </w:t>
      </w:r>
      <w:r w:rsidRPr="00BB4417">
        <w:rPr>
          <w:rFonts w:ascii="Calibri" w:hAnsi="Calibri"/>
        </w:rPr>
        <w:t>natura ed importo dei lavori eseguiti in ogni categoria nel quinquennio precedente l'ultima qualificazione conseguita, risultanti dai certificati rilasci</w:t>
      </w:r>
      <w:r>
        <w:rPr>
          <w:rFonts w:ascii="Calibri" w:hAnsi="Calibri"/>
        </w:rPr>
        <w:t xml:space="preserve">ati dalle stazioni appaltanti; 5) </w:t>
      </w:r>
      <w:r w:rsidRPr="00BB4417">
        <w:rPr>
          <w:rFonts w:ascii="Calibri" w:hAnsi="Calibri"/>
        </w:rPr>
        <w:t>elenco dell'attrezzatura tecnica in proprie</w:t>
      </w:r>
      <w:r>
        <w:rPr>
          <w:rFonts w:ascii="Calibri" w:hAnsi="Calibri"/>
        </w:rPr>
        <w:t xml:space="preserve">tà o in locazione finanziaria; 6) </w:t>
      </w:r>
      <w:r w:rsidRPr="00BB4417">
        <w:rPr>
          <w:rFonts w:ascii="Calibri" w:hAnsi="Calibri"/>
        </w:rPr>
        <w:t>importo dei versamenti effettuati all'INPS, all'INAIL e alle Casse edili in ordine alla retribu</w:t>
      </w:r>
      <w:r>
        <w:rPr>
          <w:rFonts w:ascii="Calibri" w:hAnsi="Calibri"/>
        </w:rPr>
        <w:t>zione corrisposte ai dipendenti;</w:t>
      </w:r>
      <w:r w:rsidRPr="00BB4417">
        <w:rPr>
          <w:rFonts w:ascii="Calibri" w:hAnsi="Calibri"/>
        </w:rPr>
        <w:t xml:space="preserve"> </w:t>
      </w:r>
      <w:r>
        <w:rPr>
          <w:rFonts w:ascii="Calibri" w:hAnsi="Calibri"/>
        </w:rPr>
        <w:t xml:space="preserve">7) </w:t>
      </w:r>
      <w:r w:rsidRPr="00BB4417">
        <w:rPr>
          <w:rFonts w:ascii="Calibri" w:hAnsi="Calibri"/>
        </w:rPr>
        <w:t>eventuale stato di liquidazione o cessazione di attività o eventuali p</w:t>
      </w:r>
      <w:r>
        <w:rPr>
          <w:rFonts w:ascii="Calibri" w:hAnsi="Calibri"/>
        </w:rPr>
        <w:t xml:space="preserve">rocedure concorsuali pendenti; 8) </w:t>
      </w:r>
      <w:r w:rsidRPr="00BB4417">
        <w:rPr>
          <w:rFonts w:ascii="Calibri" w:hAnsi="Calibri"/>
        </w:rPr>
        <w:t>eventuali episodi di grave negligenza nell'esecuzione di lavori ovvero gravi inadempienze contrattuali anche in riferimento all'osservanza delle norme in materia di sicurezza e degli obblighi derivanti da rapporto di lavoro, comunicate dalle stazioni app</w:t>
      </w:r>
      <w:r>
        <w:rPr>
          <w:rFonts w:ascii="Calibri" w:hAnsi="Calibri"/>
        </w:rPr>
        <w:t xml:space="preserve">altanti; 9) </w:t>
      </w:r>
      <w:r w:rsidRPr="00BB4417">
        <w:rPr>
          <w:rFonts w:ascii="Calibri" w:hAnsi="Calibri"/>
        </w:rPr>
        <w:t xml:space="preserve">eventuali sentenze di condanna passate in giudicato o di applicazione della pena su richiesta ai sensi dell'articolo 444 del codice di procedura penale a carico dei legali rappresentanti, degli amministratori delegati o dei direttori tecnici per reati contro la pubblica amministrazione, l'ordine pubblico, la </w:t>
      </w:r>
      <w:r>
        <w:rPr>
          <w:rFonts w:ascii="Calibri" w:hAnsi="Calibri"/>
        </w:rPr>
        <w:t xml:space="preserve">fede pubblica o il patrimonio; 10) </w:t>
      </w:r>
      <w:r w:rsidRPr="00BB4417">
        <w:rPr>
          <w:rFonts w:ascii="Calibri" w:hAnsi="Calibri"/>
        </w:rPr>
        <w:t>eventuali provvedimenti di esclusione dalle gare adott</w:t>
      </w:r>
      <w:r>
        <w:rPr>
          <w:rFonts w:ascii="Calibri" w:hAnsi="Calibri"/>
        </w:rPr>
        <w:t xml:space="preserve">ati dalle stazioni appaltanti; 11) </w:t>
      </w:r>
      <w:r w:rsidRPr="00BB4417">
        <w:rPr>
          <w:rFonts w:ascii="Calibri" w:hAnsi="Calibri"/>
        </w:rPr>
        <w:t>eventuali falsità nelle dichiarazioni rese in merito ai requisiti e alle condizioni rilevanti per la partec</w:t>
      </w:r>
      <w:r>
        <w:rPr>
          <w:rFonts w:ascii="Calibri" w:hAnsi="Calibri"/>
        </w:rPr>
        <w:t xml:space="preserve">ipazione alle procedure di gara; 12) </w:t>
      </w:r>
      <w:r w:rsidRPr="00BB4417">
        <w:rPr>
          <w:rFonts w:ascii="Calibri" w:hAnsi="Calibri"/>
        </w:rPr>
        <w:t>tutte le altre notizie riguardanti le imprese che, anche indipendentemente dall'esecuzione dei lavori, sono dall'Osservatorio ritenute utili ai fini della tenuta del casellario.</w:t>
      </w:r>
    </w:p>
  </w:footnote>
  <w:footnote w:id="3">
    <w:p w:rsidR="007B10E0" w:rsidRDefault="007B10E0" w:rsidP="007B10E0">
      <w:pPr>
        <w:pStyle w:val="Testonotaapidipagina"/>
        <w:jc w:val="both"/>
        <w:rPr>
          <w:rFonts w:ascii="Calibri" w:hAnsi="Calibri"/>
        </w:rPr>
      </w:pPr>
      <w:r>
        <w:rPr>
          <w:rStyle w:val="Rimandonotaapidipagina"/>
        </w:rPr>
        <w:footnoteRef/>
      </w:r>
      <w:r>
        <w:t xml:space="preserve"> </w:t>
      </w:r>
      <w:r>
        <w:rPr>
          <w:rFonts w:ascii="Calibri" w:hAnsi="Calibri"/>
        </w:rPr>
        <w:t>T</w:t>
      </w:r>
      <w:r w:rsidRPr="00983E70">
        <w:rPr>
          <w:rFonts w:ascii="Calibri" w:hAnsi="Calibri"/>
        </w:rPr>
        <w:t xml:space="preserve">ra le principali cause di esclusione dalle gare </w:t>
      </w:r>
      <w:r>
        <w:rPr>
          <w:rFonts w:ascii="Calibri" w:hAnsi="Calibri"/>
        </w:rPr>
        <w:t xml:space="preserve">previste dall’articolo 38 </w:t>
      </w:r>
      <w:r w:rsidRPr="00983E70">
        <w:rPr>
          <w:rFonts w:ascii="Calibri" w:hAnsi="Calibri"/>
        </w:rPr>
        <w:t>si rammentano lo stato di fallimento, di liquidazione coatta o concordato preventivo, la pendenza di un procedimento per l’applicazione di misure di prevenzione, una sentenza di condanna passata in giudicato per reati gravi in danno dello Stato o della Comunità, la violazione del divieto di intestazione fiduciaria, l’accertamento di gravi infrazioni alle norme in materia di sicurezza ed agli obblighi derivanti dai rapporti di lavoro, l’accertamento di grave negligenza o malafede nell’esecuzione delle prestazioni, l’accertamento di errore grave commesso nell’esercizio dell’attività professionale, la violazione degli obblighi relativi al pagamento di imposte e tasse, le false dichiarazioni rese in merito a requisiti e condizioni per la partecipazione alle gare, l’accertamento di gravi violazioni alle norme in materia di contributi previdenziali e assistenziali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4896"/>
      <w:gridCol w:w="2479"/>
      <w:gridCol w:w="2479"/>
    </w:tblGrid>
    <w:tr w:rsidR="00DD0484" w:rsidRPr="00500A7A">
      <w:trPr>
        <w:jc w:val="center"/>
      </w:trPr>
      <w:tc>
        <w:tcPr>
          <w:tcW w:w="3259" w:type="dxa"/>
        </w:tcPr>
        <w:p w:rsidR="00DD0484" w:rsidRPr="00423BD9" w:rsidRDefault="007B10E0" w:rsidP="00AD13CC">
          <w:pPr>
            <w:pStyle w:val="Intestazione"/>
            <w:rPr>
              <w:rFonts w:ascii="Calibri" w:hAnsi="Calibri"/>
              <w:b/>
              <w:color w:val="000066"/>
              <w:szCs w:val="24"/>
            </w:rPr>
          </w:pPr>
          <w:r>
            <w:rPr>
              <w:b/>
              <w:color w:val="000066"/>
              <w:szCs w:val="24"/>
            </w:rPr>
            <w:drawing>
              <wp:anchor distT="0" distB="0" distL="114300" distR="114300" simplePos="0" relativeHeight="251658240" behindDoc="0" locked="0" layoutInCell="1" allowOverlap="1">
                <wp:simplePos x="0" y="0"/>
                <wp:positionH relativeFrom="margin">
                  <wp:posOffset>11430</wp:posOffset>
                </wp:positionH>
                <wp:positionV relativeFrom="paragraph">
                  <wp:posOffset>13335</wp:posOffset>
                </wp:positionV>
                <wp:extent cx="2952750" cy="1438910"/>
                <wp:effectExtent l="19050" t="0" r="0" b="0"/>
                <wp:wrapTopAndBottom/>
                <wp:docPr id="2" name="Immagine 0" descr="Logo AV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VCP.jpg"/>
                        <pic:cNvPicPr>
                          <a:picLocks noChangeAspect="1" noChangeArrowheads="1"/>
                        </pic:cNvPicPr>
                      </pic:nvPicPr>
                      <pic:blipFill>
                        <a:blip r:embed="rId1"/>
                        <a:srcRect/>
                        <a:stretch>
                          <a:fillRect/>
                        </a:stretch>
                      </pic:blipFill>
                      <pic:spPr bwMode="auto">
                        <a:xfrm>
                          <a:off x="0" y="0"/>
                          <a:ext cx="2952750" cy="1438910"/>
                        </a:xfrm>
                        <a:prstGeom prst="rect">
                          <a:avLst/>
                        </a:prstGeom>
                        <a:noFill/>
                        <a:ln w="9525">
                          <a:noFill/>
                          <a:miter lim="800000"/>
                          <a:headEnd/>
                          <a:tailEnd/>
                        </a:ln>
                      </pic:spPr>
                    </pic:pic>
                  </a:graphicData>
                </a:graphic>
              </wp:anchor>
            </w:drawing>
          </w:r>
        </w:p>
      </w:tc>
      <w:tc>
        <w:tcPr>
          <w:tcW w:w="3259" w:type="dxa"/>
        </w:tcPr>
        <w:p w:rsidR="00DD0484" w:rsidRPr="00423BD9" w:rsidRDefault="00DD0484" w:rsidP="00302732">
          <w:pPr>
            <w:pStyle w:val="Intestazione"/>
            <w:rPr>
              <w:rFonts w:ascii="Calibri" w:hAnsi="Calibri"/>
              <w:color w:val="000066"/>
            </w:rPr>
          </w:pPr>
        </w:p>
      </w:tc>
      <w:tc>
        <w:tcPr>
          <w:tcW w:w="3260" w:type="dxa"/>
        </w:tcPr>
        <w:p w:rsidR="00DD0484" w:rsidRPr="00423BD9" w:rsidRDefault="00DD0484" w:rsidP="00302732">
          <w:pPr>
            <w:pStyle w:val="Intestazione"/>
            <w:rPr>
              <w:rFonts w:ascii="Calibri" w:hAnsi="Calibri"/>
              <w:color w:val="000066"/>
            </w:rPr>
          </w:pPr>
        </w:p>
      </w:tc>
    </w:tr>
  </w:tbl>
  <w:p w:rsidR="00DD0484" w:rsidRDefault="00DD0484">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484" w:rsidRDefault="007B10E0">
    <w:r>
      <w:drawing>
        <wp:anchor distT="0" distB="0" distL="114300" distR="114300" simplePos="0" relativeHeight="251657216" behindDoc="0" locked="0" layoutInCell="1" allowOverlap="1">
          <wp:simplePos x="0" y="0"/>
          <wp:positionH relativeFrom="column">
            <wp:posOffset>-1905</wp:posOffset>
          </wp:positionH>
          <wp:positionV relativeFrom="paragraph">
            <wp:posOffset>13335</wp:posOffset>
          </wp:positionV>
          <wp:extent cx="2952750" cy="1438910"/>
          <wp:effectExtent l="19050" t="0" r="0" b="0"/>
          <wp:wrapNone/>
          <wp:docPr id="1" name="Immagine 0" descr="Logo AV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VCP.jpg"/>
                  <pic:cNvPicPr>
                    <a:picLocks noChangeAspect="1" noChangeArrowheads="1"/>
                  </pic:cNvPicPr>
                </pic:nvPicPr>
                <pic:blipFill>
                  <a:blip r:embed="rId1"/>
                  <a:srcRect/>
                  <a:stretch>
                    <a:fillRect/>
                  </a:stretch>
                </pic:blipFill>
                <pic:spPr bwMode="auto">
                  <a:xfrm>
                    <a:off x="0" y="0"/>
                    <a:ext cx="2952750" cy="1438910"/>
                  </a:xfrm>
                  <a:prstGeom prst="rect">
                    <a:avLst/>
                  </a:prstGeom>
                  <a:noFill/>
                  <a:ln w="9525">
                    <a:noFill/>
                    <a:miter lim="800000"/>
                    <a:headEnd/>
                    <a:tailEnd/>
                  </a:ln>
                </pic:spPr>
              </pic:pic>
            </a:graphicData>
          </a:graphic>
        </wp:anchor>
      </w:drawing>
    </w:r>
  </w:p>
  <w:p w:rsidR="00DD0484" w:rsidRDefault="00DD0484"/>
  <w:tbl>
    <w:tblPr>
      <w:tblW w:w="0" w:type="auto"/>
      <w:jc w:val="center"/>
      <w:tblLook w:val="04A0"/>
    </w:tblPr>
    <w:tblGrid>
      <w:gridCol w:w="3259"/>
      <w:gridCol w:w="3259"/>
    </w:tblGrid>
    <w:tr w:rsidR="00DD0484" w:rsidRPr="00500A7A">
      <w:trPr>
        <w:jc w:val="center"/>
      </w:trPr>
      <w:tc>
        <w:tcPr>
          <w:tcW w:w="3259" w:type="dxa"/>
        </w:tcPr>
        <w:p w:rsidR="00DD0484" w:rsidRPr="00423BD9" w:rsidRDefault="00DD0484" w:rsidP="00423BD9">
          <w:pPr>
            <w:pStyle w:val="Intestazione"/>
            <w:jc w:val="center"/>
            <w:rPr>
              <w:rFonts w:ascii="Calibri" w:hAnsi="Calibri"/>
              <w:b/>
              <w:color w:val="000066"/>
              <w:szCs w:val="24"/>
            </w:rPr>
          </w:pPr>
        </w:p>
      </w:tc>
      <w:tc>
        <w:tcPr>
          <w:tcW w:w="3259" w:type="dxa"/>
          <w:tcBorders>
            <w:right w:val="single" w:sz="6" w:space="0" w:color="A6A6A6"/>
          </w:tcBorders>
        </w:tcPr>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p w:rsidR="00DD0484" w:rsidRPr="00423BD9" w:rsidRDefault="00DD0484" w:rsidP="00461A56">
          <w:pPr>
            <w:pStyle w:val="Intestazione"/>
            <w:rPr>
              <w:rFonts w:ascii="Calibri" w:hAnsi="Calibri"/>
              <w:color w:val="000066"/>
            </w:rPr>
          </w:pPr>
        </w:p>
      </w:tc>
    </w:tr>
    <w:tr w:rsidR="00DD0484" w:rsidRPr="00500A7A">
      <w:trPr>
        <w:jc w:val="center"/>
      </w:trPr>
      <w:tc>
        <w:tcPr>
          <w:tcW w:w="3259" w:type="dxa"/>
        </w:tcPr>
        <w:p w:rsidR="00DD0484" w:rsidRPr="00423BD9" w:rsidRDefault="00DD0484" w:rsidP="00423BD9">
          <w:pPr>
            <w:pStyle w:val="Intestazione"/>
            <w:jc w:val="center"/>
            <w:rPr>
              <w:rFonts w:ascii="Calibri" w:hAnsi="Calibri"/>
              <w:b/>
              <w:color w:val="000066"/>
              <w:szCs w:val="24"/>
            </w:rPr>
          </w:pPr>
        </w:p>
      </w:tc>
      <w:tc>
        <w:tcPr>
          <w:tcW w:w="3259" w:type="dxa"/>
          <w:tcBorders>
            <w:right w:val="single" w:sz="6" w:space="0" w:color="A6A6A6"/>
          </w:tcBorders>
        </w:tcPr>
        <w:p w:rsidR="00DD0484" w:rsidRPr="00423BD9" w:rsidRDefault="00DD0484" w:rsidP="00461A56">
          <w:pPr>
            <w:pStyle w:val="Intestazione"/>
            <w:rPr>
              <w:rFonts w:ascii="Calibri" w:hAnsi="Calibri"/>
              <w:color w:val="000066"/>
            </w:rPr>
          </w:pPr>
        </w:p>
      </w:tc>
    </w:tr>
    <w:tr w:rsidR="00DD0484" w:rsidRPr="00500A7A">
      <w:trPr>
        <w:jc w:val="center"/>
      </w:trPr>
      <w:tc>
        <w:tcPr>
          <w:tcW w:w="3259" w:type="dxa"/>
        </w:tcPr>
        <w:p w:rsidR="00DD0484" w:rsidRPr="00423BD9" w:rsidRDefault="00DD0484" w:rsidP="00423BD9">
          <w:pPr>
            <w:pStyle w:val="Intestazione"/>
            <w:jc w:val="center"/>
            <w:rPr>
              <w:rFonts w:ascii="Calibri" w:hAnsi="Calibri"/>
              <w:b/>
              <w:color w:val="000066"/>
              <w:szCs w:val="24"/>
            </w:rPr>
          </w:pPr>
        </w:p>
      </w:tc>
      <w:tc>
        <w:tcPr>
          <w:tcW w:w="3259" w:type="dxa"/>
          <w:tcBorders>
            <w:right w:val="single" w:sz="6" w:space="0" w:color="A6A6A6"/>
          </w:tcBorders>
        </w:tcPr>
        <w:p w:rsidR="00DD0484" w:rsidRPr="00423BD9" w:rsidRDefault="00DD0484" w:rsidP="00461A56">
          <w:pPr>
            <w:pStyle w:val="Intestazione"/>
            <w:rPr>
              <w:rFonts w:ascii="Calibri" w:hAnsi="Calibri"/>
              <w:color w:val="000066"/>
            </w:rPr>
          </w:pPr>
        </w:p>
      </w:tc>
    </w:tr>
    <w:tr w:rsidR="00DD0484" w:rsidRPr="00500A7A">
      <w:trPr>
        <w:jc w:val="center"/>
      </w:trPr>
      <w:tc>
        <w:tcPr>
          <w:tcW w:w="3259" w:type="dxa"/>
        </w:tcPr>
        <w:p w:rsidR="00DD0484" w:rsidRPr="00423BD9" w:rsidRDefault="00DD0484" w:rsidP="00423BD9">
          <w:pPr>
            <w:pStyle w:val="Intestazione"/>
            <w:jc w:val="center"/>
            <w:rPr>
              <w:rFonts w:ascii="Calibri" w:hAnsi="Calibri"/>
              <w:b/>
              <w:color w:val="000066"/>
              <w:szCs w:val="24"/>
            </w:rPr>
          </w:pPr>
        </w:p>
      </w:tc>
      <w:tc>
        <w:tcPr>
          <w:tcW w:w="3259" w:type="dxa"/>
          <w:tcBorders>
            <w:right w:val="single" w:sz="6" w:space="0" w:color="A6A6A6"/>
          </w:tcBorders>
        </w:tcPr>
        <w:p w:rsidR="00DD0484" w:rsidRPr="00423BD9" w:rsidRDefault="00DD0484" w:rsidP="00461A56">
          <w:pPr>
            <w:pStyle w:val="Intestazione"/>
            <w:rPr>
              <w:rFonts w:ascii="Calibri" w:hAnsi="Calibri"/>
              <w:color w:val="000066"/>
            </w:rPr>
          </w:pPr>
        </w:p>
      </w:tc>
    </w:tr>
  </w:tbl>
  <w:p w:rsidR="00DD0484" w:rsidRDefault="00DD0484">
    <w:pPr>
      <w:pStyle w:val="Intestazione"/>
      <w:rPr>
        <w:rFonts w:ascii="Calibri" w:hAnsi="Calibri"/>
      </w:rPr>
    </w:pPr>
  </w:p>
  <w:p w:rsidR="00DD0484" w:rsidRDefault="00DD0484">
    <w:pPr>
      <w:pStyle w:val="Intestazione"/>
      <w:rPr>
        <w:rFonts w:ascii="Calibri" w:hAnsi="Calibr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B65FF"/>
    <w:multiLevelType w:val="hybridMultilevel"/>
    <w:tmpl w:val="492EF6A0"/>
    <w:lvl w:ilvl="0" w:tplc="04100001">
      <w:start w:val="1"/>
      <w:numFmt w:val="bullet"/>
      <w:lvlText w:val=""/>
      <w:lvlJc w:val="left"/>
      <w:pPr>
        <w:tabs>
          <w:tab w:val="num" w:pos="360"/>
        </w:tabs>
        <w:ind w:left="36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nsid w:val="0A1D20FD"/>
    <w:multiLevelType w:val="hybridMultilevel"/>
    <w:tmpl w:val="A940786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AB7614"/>
    <w:multiLevelType w:val="hybridMultilevel"/>
    <w:tmpl w:val="6E2E5170"/>
    <w:lvl w:ilvl="0" w:tplc="55D672D8">
      <w:start w:val="1"/>
      <w:numFmt w:val="lowerRoman"/>
      <w:lvlText w:val="(%1)"/>
      <w:lvlJc w:val="right"/>
      <w:pPr>
        <w:ind w:left="1195" w:hanging="360"/>
      </w:pPr>
      <w:rPr>
        <w:rFonts w:hint="default"/>
      </w:rPr>
    </w:lvl>
    <w:lvl w:ilvl="1" w:tplc="04100019" w:tentative="1">
      <w:start w:val="1"/>
      <w:numFmt w:val="lowerLetter"/>
      <w:lvlText w:val="%2."/>
      <w:lvlJc w:val="left"/>
      <w:pPr>
        <w:ind w:left="1915" w:hanging="360"/>
      </w:pPr>
    </w:lvl>
    <w:lvl w:ilvl="2" w:tplc="0410001B" w:tentative="1">
      <w:start w:val="1"/>
      <w:numFmt w:val="lowerRoman"/>
      <w:lvlText w:val="%3."/>
      <w:lvlJc w:val="right"/>
      <w:pPr>
        <w:ind w:left="2635" w:hanging="180"/>
      </w:pPr>
    </w:lvl>
    <w:lvl w:ilvl="3" w:tplc="0410000F" w:tentative="1">
      <w:start w:val="1"/>
      <w:numFmt w:val="decimal"/>
      <w:lvlText w:val="%4."/>
      <w:lvlJc w:val="left"/>
      <w:pPr>
        <w:ind w:left="3355" w:hanging="360"/>
      </w:pPr>
    </w:lvl>
    <w:lvl w:ilvl="4" w:tplc="04100019" w:tentative="1">
      <w:start w:val="1"/>
      <w:numFmt w:val="lowerLetter"/>
      <w:lvlText w:val="%5."/>
      <w:lvlJc w:val="left"/>
      <w:pPr>
        <w:ind w:left="4075" w:hanging="360"/>
      </w:pPr>
    </w:lvl>
    <w:lvl w:ilvl="5" w:tplc="0410001B" w:tentative="1">
      <w:start w:val="1"/>
      <w:numFmt w:val="lowerRoman"/>
      <w:lvlText w:val="%6."/>
      <w:lvlJc w:val="right"/>
      <w:pPr>
        <w:ind w:left="4795" w:hanging="180"/>
      </w:pPr>
    </w:lvl>
    <w:lvl w:ilvl="6" w:tplc="0410000F" w:tentative="1">
      <w:start w:val="1"/>
      <w:numFmt w:val="decimal"/>
      <w:lvlText w:val="%7."/>
      <w:lvlJc w:val="left"/>
      <w:pPr>
        <w:ind w:left="5515" w:hanging="360"/>
      </w:pPr>
    </w:lvl>
    <w:lvl w:ilvl="7" w:tplc="04100019" w:tentative="1">
      <w:start w:val="1"/>
      <w:numFmt w:val="lowerLetter"/>
      <w:lvlText w:val="%8."/>
      <w:lvlJc w:val="left"/>
      <w:pPr>
        <w:ind w:left="6235" w:hanging="360"/>
      </w:pPr>
    </w:lvl>
    <w:lvl w:ilvl="8" w:tplc="0410001B" w:tentative="1">
      <w:start w:val="1"/>
      <w:numFmt w:val="lowerRoman"/>
      <w:lvlText w:val="%9."/>
      <w:lvlJc w:val="right"/>
      <w:pPr>
        <w:ind w:left="6955" w:hanging="180"/>
      </w:pPr>
    </w:lvl>
  </w:abstractNum>
  <w:abstractNum w:abstractNumId="3">
    <w:nsid w:val="0F2E17DE"/>
    <w:multiLevelType w:val="hybridMultilevel"/>
    <w:tmpl w:val="E8DA9D9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nsid w:val="14984197"/>
    <w:multiLevelType w:val="hybridMultilevel"/>
    <w:tmpl w:val="E368A39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A8E642B"/>
    <w:multiLevelType w:val="hybridMultilevel"/>
    <w:tmpl w:val="23F03614"/>
    <w:lvl w:ilvl="0" w:tplc="EC8664E8">
      <w:start w:val="1"/>
      <w:numFmt w:val="decimal"/>
      <w:lvlText w:val="%1."/>
      <w:lvlJc w:val="left"/>
      <w:pPr>
        <w:ind w:left="2136" w:hanging="360"/>
      </w:pPr>
      <w:rPr>
        <w:rFonts w:ascii="Calibri" w:eastAsia="Times New Roman" w:hAnsi="Calibri" w:cs="Arial"/>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6">
    <w:nsid w:val="2ADA3307"/>
    <w:multiLevelType w:val="hybridMultilevel"/>
    <w:tmpl w:val="ADCCEFAE"/>
    <w:lvl w:ilvl="0" w:tplc="7CD0C798">
      <w:numFmt w:val="bullet"/>
      <w:lvlText w:val="-"/>
      <w:lvlJc w:val="left"/>
      <w:pPr>
        <w:tabs>
          <w:tab w:val="num" w:pos="927"/>
        </w:tabs>
        <w:ind w:left="927" w:hanging="360"/>
      </w:pPr>
      <w:rPr>
        <w:rFonts w:ascii="Times New Roman" w:eastAsia="Times New Roman" w:hAnsi="Times New Roman" w:cs="Times New Roman" w:hint="default"/>
      </w:rPr>
    </w:lvl>
    <w:lvl w:ilvl="1" w:tplc="04100003" w:tentative="1">
      <w:start w:val="1"/>
      <w:numFmt w:val="bullet"/>
      <w:lvlText w:val="o"/>
      <w:lvlJc w:val="left"/>
      <w:pPr>
        <w:tabs>
          <w:tab w:val="num" w:pos="1647"/>
        </w:tabs>
        <w:ind w:left="1647" w:hanging="360"/>
      </w:pPr>
      <w:rPr>
        <w:rFonts w:ascii="Courier New" w:hAnsi="Courier New" w:hint="default"/>
      </w:rPr>
    </w:lvl>
    <w:lvl w:ilvl="2" w:tplc="04100005" w:tentative="1">
      <w:start w:val="1"/>
      <w:numFmt w:val="bullet"/>
      <w:lvlText w:val=""/>
      <w:lvlJc w:val="left"/>
      <w:pPr>
        <w:tabs>
          <w:tab w:val="num" w:pos="2367"/>
        </w:tabs>
        <w:ind w:left="2367" w:hanging="360"/>
      </w:pPr>
      <w:rPr>
        <w:rFonts w:ascii="Wingdings" w:hAnsi="Wingdings" w:hint="default"/>
      </w:rPr>
    </w:lvl>
    <w:lvl w:ilvl="3" w:tplc="04100001" w:tentative="1">
      <w:start w:val="1"/>
      <w:numFmt w:val="bullet"/>
      <w:lvlText w:val=""/>
      <w:lvlJc w:val="left"/>
      <w:pPr>
        <w:tabs>
          <w:tab w:val="num" w:pos="3087"/>
        </w:tabs>
        <w:ind w:left="3087" w:hanging="360"/>
      </w:pPr>
      <w:rPr>
        <w:rFonts w:ascii="Symbol" w:hAnsi="Symbol" w:hint="default"/>
      </w:rPr>
    </w:lvl>
    <w:lvl w:ilvl="4" w:tplc="04100003" w:tentative="1">
      <w:start w:val="1"/>
      <w:numFmt w:val="bullet"/>
      <w:lvlText w:val="o"/>
      <w:lvlJc w:val="left"/>
      <w:pPr>
        <w:tabs>
          <w:tab w:val="num" w:pos="3807"/>
        </w:tabs>
        <w:ind w:left="3807" w:hanging="360"/>
      </w:pPr>
      <w:rPr>
        <w:rFonts w:ascii="Courier New" w:hAnsi="Courier New" w:hint="default"/>
      </w:rPr>
    </w:lvl>
    <w:lvl w:ilvl="5" w:tplc="04100005" w:tentative="1">
      <w:start w:val="1"/>
      <w:numFmt w:val="bullet"/>
      <w:lvlText w:val=""/>
      <w:lvlJc w:val="left"/>
      <w:pPr>
        <w:tabs>
          <w:tab w:val="num" w:pos="4527"/>
        </w:tabs>
        <w:ind w:left="4527" w:hanging="360"/>
      </w:pPr>
      <w:rPr>
        <w:rFonts w:ascii="Wingdings" w:hAnsi="Wingdings" w:hint="default"/>
      </w:rPr>
    </w:lvl>
    <w:lvl w:ilvl="6" w:tplc="04100001" w:tentative="1">
      <w:start w:val="1"/>
      <w:numFmt w:val="bullet"/>
      <w:lvlText w:val=""/>
      <w:lvlJc w:val="left"/>
      <w:pPr>
        <w:tabs>
          <w:tab w:val="num" w:pos="5247"/>
        </w:tabs>
        <w:ind w:left="5247" w:hanging="360"/>
      </w:pPr>
      <w:rPr>
        <w:rFonts w:ascii="Symbol" w:hAnsi="Symbol" w:hint="default"/>
      </w:rPr>
    </w:lvl>
    <w:lvl w:ilvl="7" w:tplc="04100003" w:tentative="1">
      <w:start w:val="1"/>
      <w:numFmt w:val="bullet"/>
      <w:lvlText w:val="o"/>
      <w:lvlJc w:val="left"/>
      <w:pPr>
        <w:tabs>
          <w:tab w:val="num" w:pos="5967"/>
        </w:tabs>
        <w:ind w:left="5967" w:hanging="360"/>
      </w:pPr>
      <w:rPr>
        <w:rFonts w:ascii="Courier New" w:hAnsi="Courier New" w:hint="default"/>
      </w:rPr>
    </w:lvl>
    <w:lvl w:ilvl="8" w:tplc="04100005" w:tentative="1">
      <w:start w:val="1"/>
      <w:numFmt w:val="bullet"/>
      <w:lvlText w:val=""/>
      <w:lvlJc w:val="left"/>
      <w:pPr>
        <w:tabs>
          <w:tab w:val="num" w:pos="6687"/>
        </w:tabs>
        <w:ind w:left="6687" w:hanging="360"/>
      </w:pPr>
      <w:rPr>
        <w:rFonts w:ascii="Wingdings" w:hAnsi="Wingdings" w:hint="default"/>
      </w:rPr>
    </w:lvl>
  </w:abstractNum>
  <w:abstractNum w:abstractNumId="7">
    <w:nsid w:val="2BD0039D"/>
    <w:multiLevelType w:val="hybridMultilevel"/>
    <w:tmpl w:val="BB88CEE2"/>
    <w:lvl w:ilvl="0" w:tplc="04100005">
      <w:start w:val="1"/>
      <w:numFmt w:val="bullet"/>
      <w:lvlText w:val=""/>
      <w:lvlJc w:val="left"/>
      <w:pPr>
        <w:ind w:left="2160" w:hanging="360"/>
      </w:pPr>
      <w:rPr>
        <w:rFonts w:ascii="Wingdings" w:hAnsi="Wingdings"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8">
    <w:nsid w:val="2C947126"/>
    <w:multiLevelType w:val="multilevel"/>
    <w:tmpl w:val="3A1E01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DB0072F"/>
    <w:multiLevelType w:val="hybridMultilevel"/>
    <w:tmpl w:val="77E85A4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nsid w:val="42462E2B"/>
    <w:multiLevelType w:val="hybridMultilevel"/>
    <w:tmpl w:val="3C366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2">
    <w:nsid w:val="48326C16"/>
    <w:multiLevelType w:val="hybridMultilevel"/>
    <w:tmpl w:val="B8E0EAC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nsid w:val="490A43E8"/>
    <w:multiLevelType w:val="hybridMultilevel"/>
    <w:tmpl w:val="CE58C2D2"/>
    <w:lvl w:ilvl="0" w:tplc="19DC4D2A">
      <w:start w:val="6"/>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02F660B"/>
    <w:multiLevelType w:val="hybridMultilevel"/>
    <w:tmpl w:val="019ACAB4"/>
    <w:lvl w:ilvl="0" w:tplc="16BA2562">
      <w:start w:val="1"/>
      <w:numFmt w:val="lowerLetter"/>
      <w:pStyle w:val="Titolo2"/>
      <w:lvlText w:val="%1.  "/>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382670E"/>
    <w:multiLevelType w:val="multilevel"/>
    <w:tmpl w:val="4FE8D2B8"/>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6">
    <w:nsid w:val="5467448D"/>
    <w:multiLevelType w:val="hybridMultilevel"/>
    <w:tmpl w:val="51BE4B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A50670D"/>
    <w:multiLevelType w:val="hybridMultilevel"/>
    <w:tmpl w:val="5ECC4CB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nsid w:val="5CED495D"/>
    <w:multiLevelType w:val="multilevel"/>
    <w:tmpl w:val="4FE8D2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2F94327"/>
    <w:multiLevelType w:val="hybridMultilevel"/>
    <w:tmpl w:val="5734C20C"/>
    <w:lvl w:ilvl="0" w:tplc="F920D838">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35F1114"/>
    <w:multiLevelType w:val="hybridMultilevel"/>
    <w:tmpl w:val="5688F02C"/>
    <w:lvl w:ilvl="0" w:tplc="2BA47E58">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63823007"/>
    <w:multiLevelType w:val="hybridMultilevel"/>
    <w:tmpl w:val="74F434B4"/>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6CA3710B"/>
    <w:multiLevelType w:val="hybridMultilevel"/>
    <w:tmpl w:val="1C288BCE"/>
    <w:lvl w:ilvl="0" w:tplc="DC16F458">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3">
    <w:nsid w:val="77AE1BCB"/>
    <w:multiLevelType w:val="hybridMultilevel"/>
    <w:tmpl w:val="2AAA3CCC"/>
    <w:lvl w:ilvl="0" w:tplc="D3CE03AE">
      <w:start w:val="1"/>
      <w:numFmt w:val="lowerLetter"/>
      <w:lvlText w:val="%1."/>
      <w:lvlJc w:val="left"/>
      <w:pPr>
        <w:ind w:left="720" w:hanging="360"/>
      </w:pPr>
      <w:rPr>
        <w:rFonts w:ascii="Calibri" w:eastAsia="Times New Roman" w:hAnsi="Calibri"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7"/>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0"/>
  </w:num>
  <w:num w:numId="7">
    <w:abstractNumId w:val="18"/>
  </w:num>
  <w:num w:numId="8">
    <w:abstractNumId w:val="20"/>
  </w:num>
  <w:num w:numId="9">
    <w:abstractNumId w:val="23"/>
  </w:num>
  <w:num w:numId="10">
    <w:abstractNumId w:val="16"/>
  </w:num>
  <w:num w:numId="11">
    <w:abstractNumId w:val="0"/>
  </w:num>
  <w:num w:numId="12">
    <w:abstractNumId w:val="5"/>
  </w:num>
  <w:num w:numId="13">
    <w:abstractNumId w:val="12"/>
  </w:num>
  <w:num w:numId="14">
    <w:abstractNumId w:val="13"/>
  </w:num>
  <w:num w:numId="15">
    <w:abstractNumId w:val="4"/>
  </w:num>
  <w:num w:numId="16">
    <w:abstractNumId w:val="1"/>
  </w:num>
  <w:num w:numId="17">
    <w:abstractNumId w:val="7"/>
  </w:num>
  <w:num w:numId="18">
    <w:abstractNumId w:val="11"/>
  </w:num>
  <w:num w:numId="19">
    <w:abstractNumId w:val="22"/>
  </w:num>
  <w:num w:numId="20">
    <w:abstractNumId w:val="21"/>
  </w:num>
  <w:num w:numId="21">
    <w:abstractNumId w:val="15"/>
  </w:num>
  <w:num w:numId="22">
    <w:abstractNumId w:val="8"/>
  </w:num>
  <w:num w:numId="23">
    <w:abstractNumId w:val="2"/>
  </w:num>
  <w:num w:numId="24">
    <w:abstractNumId w:val="6"/>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hyphenationZone w:val="283"/>
  <w:drawingGridHorizontalSpacing w:val="120"/>
  <w:displayHorizontalDrawingGridEvery w:val="2"/>
  <w:characterSpacingControl w:val="doNotCompress"/>
  <w:hdrShapeDefaults>
    <o:shapedefaults v:ext="edit" spidmax="188418"/>
  </w:hdrShapeDefaults>
  <w:footnotePr>
    <w:footnote w:id="0"/>
    <w:footnote w:id="1"/>
  </w:footnotePr>
  <w:endnotePr>
    <w:endnote w:id="0"/>
    <w:endnote w:id="1"/>
  </w:endnotePr>
  <w:compat/>
  <w:rsids>
    <w:rsidRoot w:val="001B0A45"/>
    <w:rsid w:val="0000382B"/>
    <w:rsid w:val="00003E0F"/>
    <w:rsid w:val="00004C99"/>
    <w:rsid w:val="00007502"/>
    <w:rsid w:val="000126C8"/>
    <w:rsid w:val="00013C29"/>
    <w:rsid w:val="00024041"/>
    <w:rsid w:val="00031880"/>
    <w:rsid w:val="00031F58"/>
    <w:rsid w:val="00032FDE"/>
    <w:rsid w:val="000378C0"/>
    <w:rsid w:val="0004086F"/>
    <w:rsid w:val="0004281C"/>
    <w:rsid w:val="00043FFA"/>
    <w:rsid w:val="0004479E"/>
    <w:rsid w:val="00044927"/>
    <w:rsid w:val="00051D61"/>
    <w:rsid w:val="00055589"/>
    <w:rsid w:val="00055C22"/>
    <w:rsid w:val="00061D38"/>
    <w:rsid w:val="00070773"/>
    <w:rsid w:val="00072885"/>
    <w:rsid w:val="00075324"/>
    <w:rsid w:val="00076916"/>
    <w:rsid w:val="00076BFD"/>
    <w:rsid w:val="00077018"/>
    <w:rsid w:val="00077C89"/>
    <w:rsid w:val="00086718"/>
    <w:rsid w:val="000913D2"/>
    <w:rsid w:val="00091731"/>
    <w:rsid w:val="00092E5F"/>
    <w:rsid w:val="000932C8"/>
    <w:rsid w:val="0009331F"/>
    <w:rsid w:val="00094D79"/>
    <w:rsid w:val="000A1A13"/>
    <w:rsid w:val="000A568F"/>
    <w:rsid w:val="000B4734"/>
    <w:rsid w:val="000B5103"/>
    <w:rsid w:val="000C2EAD"/>
    <w:rsid w:val="000C2FD6"/>
    <w:rsid w:val="000C3F9E"/>
    <w:rsid w:val="000C5B41"/>
    <w:rsid w:val="000D041B"/>
    <w:rsid w:val="000D5507"/>
    <w:rsid w:val="000D715E"/>
    <w:rsid w:val="000E6D3E"/>
    <w:rsid w:val="000F73CE"/>
    <w:rsid w:val="000F7EF7"/>
    <w:rsid w:val="00100D0C"/>
    <w:rsid w:val="00105D3B"/>
    <w:rsid w:val="001076D8"/>
    <w:rsid w:val="001102BE"/>
    <w:rsid w:val="00110613"/>
    <w:rsid w:val="00110E72"/>
    <w:rsid w:val="001114B4"/>
    <w:rsid w:val="001120BB"/>
    <w:rsid w:val="00115FB9"/>
    <w:rsid w:val="001218F7"/>
    <w:rsid w:val="00135CA6"/>
    <w:rsid w:val="001367E7"/>
    <w:rsid w:val="00146C1E"/>
    <w:rsid w:val="00146E4A"/>
    <w:rsid w:val="00147267"/>
    <w:rsid w:val="00151895"/>
    <w:rsid w:val="001719F8"/>
    <w:rsid w:val="001816B9"/>
    <w:rsid w:val="001871FD"/>
    <w:rsid w:val="00187AAD"/>
    <w:rsid w:val="00193454"/>
    <w:rsid w:val="00195A26"/>
    <w:rsid w:val="001A009D"/>
    <w:rsid w:val="001A31CA"/>
    <w:rsid w:val="001A7384"/>
    <w:rsid w:val="001B0718"/>
    <w:rsid w:val="001B0A45"/>
    <w:rsid w:val="001C3783"/>
    <w:rsid w:val="001C6BCF"/>
    <w:rsid w:val="001D105D"/>
    <w:rsid w:val="001E2ACD"/>
    <w:rsid w:val="001E52B1"/>
    <w:rsid w:val="001E55A4"/>
    <w:rsid w:val="001E5CFF"/>
    <w:rsid w:val="001F30D4"/>
    <w:rsid w:val="001F3428"/>
    <w:rsid w:val="001F3A6D"/>
    <w:rsid w:val="001F4E76"/>
    <w:rsid w:val="001F7F8B"/>
    <w:rsid w:val="0020162F"/>
    <w:rsid w:val="0020473F"/>
    <w:rsid w:val="002076AB"/>
    <w:rsid w:val="002118DB"/>
    <w:rsid w:val="00215DC6"/>
    <w:rsid w:val="00226BDD"/>
    <w:rsid w:val="0023008B"/>
    <w:rsid w:val="0023047E"/>
    <w:rsid w:val="00232775"/>
    <w:rsid w:val="00233CBB"/>
    <w:rsid w:val="0023495D"/>
    <w:rsid w:val="00234999"/>
    <w:rsid w:val="00246DBE"/>
    <w:rsid w:val="00252461"/>
    <w:rsid w:val="002565B6"/>
    <w:rsid w:val="0026012C"/>
    <w:rsid w:val="00262A50"/>
    <w:rsid w:val="0026321C"/>
    <w:rsid w:val="00270BE1"/>
    <w:rsid w:val="0027434D"/>
    <w:rsid w:val="00283831"/>
    <w:rsid w:val="002846C1"/>
    <w:rsid w:val="00285431"/>
    <w:rsid w:val="00286FD5"/>
    <w:rsid w:val="00290196"/>
    <w:rsid w:val="002A00A5"/>
    <w:rsid w:val="002A07D5"/>
    <w:rsid w:val="002A5BF9"/>
    <w:rsid w:val="002A6083"/>
    <w:rsid w:val="002A7278"/>
    <w:rsid w:val="002A7F5D"/>
    <w:rsid w:val="002B5F37"/>
    <w:rsid w:val="002B7FB0"/>
    <w:rsid w:val="002C0E16"/>
    <w:rsid w:val="002C12C8"/>
    <w:rsid w:val="002C242F"/>
    <w:rsid w:val="002C7B0E"/>
    <w:rsid w:val="002D0368"/>
    <w:rsid w:val="002D0D4B"/>
    <w:rsid w:val="002D62EB"/>
    <w:rsid w:val="002D79F0"/>
    <w:rsid w:val="002E02FB"/>
    <w:rsid w:val="002E3309"/>
    <w:rsid w:val="002F116A"/>
    <w:rsid w:val="002F1ABF"/>
    <w:rsid w:val="002F6AAF"/>
    <w:rsid w:val="00300034"/>
    <w:rsid w:val="00300D28"/>
    <w:rsid w:val="00302732"/>
    <w:rsid w:val="003058B8"/>
    <w:rsid w:val="0032048C"/>
    <w:rsid w:val="00322489"/>
    <w:rsid w:val="003241D2"/>
    <w:rsid w:val="0032436E"/>
    <w:rsid w:val="003440E5"/>
    <w:rsid w:val="00344545"/>
    <w:rsid w:val="0035591C"/>
    <w:rsid w:val="00357CEF"/>
    <w:rsid w:val="00361B59"/>
    <w:rsid w:val="00363CB0"/>
    <w:rsid w:val="00364B53"/>
    <w:rsid w:val="00365E22"/>
    <w:rsid w:val="00366389"/>
    <w:rsid w:val="003665FC"/>
    <w:rsid w:val="00366F35"/>
    <w:rsid w:val="003674CC"/>
    <w:rsid w:val="00370985"/>
    <w:rsid w:val="00373F41"/>
    <w:rsid w:val="00376B63"/>
    <w:rsid w:val="00382A60"/>
    <w:rsid w:val="0038444D"/>
    <w:rsid w:val="00385B79"/>
    <w:rsid w:val="00391219"/>
    <w:rsid w:val="003973B6"/>
    <w:rsid w:val="003A5B93"/>
    <w:rsid w:val="003B1482"/>
    <w:rsid w:val="003B163F"/>
    <w:rsid w:val="003B1F15"/>
    <w:rsid w:val="003B4915"/>
    <w:rsid w:val="003B5B6C"/>
    <w:rsid w:val="003C3C2C"/>
    <w:rsid w:val="003C40C5"/>
    <w:rsid w:val="003D4F1D"/>
    <w:rsid w:val="003E1564"/>
    <w:rsid w:val="003E5DDB"/>
    <w:rsid w:val="003E76C7"/>
    <w:rsid w:val="003F0EF5"/>
    <w:rsid w:val="003F505D"/>
    <w:rsid w:val="003F5A2F"/>
    <w:rsid w:val="003F5D53"/>
    <w:rsid w:val="0040481C"/>
    <w:rsid w:val="00405826"/>
    <w:rsid w:val="004063A9"/>
    <w:rsid w:val="004107B9"/>
    <w:rsid w:val="00411DD8"/>
    <w:rsid w:val="004150EF"/>
    <w:rsid w:val="004177B5"/>
    <w:rsid w:val="00417BBC"/>
    <w:rsid w:val="00420D51"/>
    <w:rsid w:val="00423BD9"/>
    <w:rsid w:val="00424517"/>
    <w:rsid w:val="004245ED"/>
    <w:rsid w:val="00431A67"/>
    <w:rsid w:val="00431DA6"/>
    <w:rsid w:val="00432E9D"/>
    <w:rsid w:val="00433DB9"/>
    <w:rsid w:val="004405D7"/>
    <w:rsid w:val="00454DA9"/>
    <w:rsid w:val="00457CCA"/>
    <w:rsid w:val="00461471"/>
    <w:rsid w:val="00461A56"/>
    <w:rsid w:val="00463BD3"/>
    <w:rsid w:val="00465332"/>
    <w:rsid w:val="00471B03"/>
    <w:rsid w:val="004731FA"/>
    <w:rsid w:val="004756D1"/>
    <w:rsid w:val="00475E74"/>
    <w:rsid w:val="004776F9"/>
    <w:rsid w:val="004826C7"/>
    <w:rsid w:val="004860A5"/>
    <w:rsid w:val="004866B1"/>
    <w:rsid w:val="00491F7C"/>
    <w:rsid w:val="0049679D"/>
    <w:rsid w:val="004A0CB2"/>
    <w:rsid w:val="004A2095"/>
    <w:rsid w:val="004B050C"/>
    <w:rsid w:val="004B1E45"/>
    <w:rsid w:val="004B27AB"/>
    <w:rsid w:val="004B42CD"/>
    <w:rsid w:val="004B5548"/>
    <w:rsid w:val="004C4364"/>
    <w:rsid w:val="004D0BE4"/>
    <w:rsid w:val="004D3F1C"/>
    <w:rsid w:val="004D44C5"/>
    <w:rsid w:val="004E0500"/>
    <w:rsid w:val="004E653A"/>
    <w:rsid w:val="004E6F32"/>
    <w:rsid w:val="004E755C"/>
    <w:rsid w:val="004E7B1C"/>
    <w:rsid w:val="004F39B1"/>
    <w:rsid w:val="004F4ACB"/>
    <w:rsid w:val="004F5EF3"/>
    <w:rsid w:val="0050001E"/>
    <w:rsid w:val="00500A7A"/>
    <w:rsid w:val="0050471C"/>
    <w:rsid w:val="00504961"/>
    <w:rsid w:val="00504EB7"/>
    <w:rsid w:val="00510A76"/>
    <w:rsid w:val="005129C2"/>
    <w:rsid w:val="00516CD1"/>
    <w:rsid w:val="00521445"/>
    <w:rsid w:val="005221C4"/>
    <w:rsid w:val="00525BB5"/>
    <w:rsid w:val="00530269"/>
    <w:rsid w:val="0054266C"/>
    <w:rsid w:val="00542D69"/>
    <w:rsid w:val="00546144"/>
    <w:rsid w:val="00550F63"/>
    <w:rsid w:val="00551F71"/>
    <w:rsid w:val="00556D2B"/>
    <w:rsid w:val="005579F6"/>
    <w:rsid w:val="005606F7"/>
    <w:rsid w:val="005617E3"/>
    <w:rsid w:val="00565CFC"/>
    <w:rsid w:val="005678A2"/>
    <w:rsid w:val="00576F7A"/>
    <w:rsid w:val="00577B74"/>
    <w:rsid w:val="00581CDD"/>
    <w:rsid w:val="0058442A"/>
    <w:rsid w:val="005928DC"/>
    <w:rsid w:val="00592C6F"/>
    <w:rsid w:val="005A26E1"/>
    <w:rsid w:val="005A6485"/>
    <w:rsid w:val="005B6BE2"/>
    <w:rsid w:val="005B70B3"/>
    <w:rsid w:val="005C204C"/>
    <w:rsid w:val="005C3D84"/>
    <w:rsid w:val="005C650A"/>
    <w:rsid w:val="005D0ABD"/>
    <w:rsid w:val="005D6A18"/>
    <w:rsid w:val="005D6BD6"/>
    <w:rsid w:val="005D7336"/>
    <w:rsid w:val="005D7989"/>
    <w:rsid w:val="005E16AA"/>
    <w:rsid w:val="005E1FA0"/>
    <w:rsid w:val="005E53A5"/>
    <w:rsid w:val="005E79B6"/>
    <w:rsid w:val="005F1729"/>
    <w:rsid w:val="005F296B"/>
    <w:rsid w:val="005F2A7A"/>
    <w:rsid w:val="005F642D"/>
    <w:rsid w:val="005F6B2F"/>
    <w:rsid w:val="00601693"/>
    <w:rsid w:val="006066AC"/>
    <w:rsid w:val="00607CCB"/>
    <w:rsid w:val="00611C1A"/>
    <w:rsid w:val="00613261"/>
    <w:rsid w:val="006177D0"/>
    <w:rsid w:val="00622FEC"/>
    <w:rsid w:val="006266DF"/>
    <w:rsid w:val="0063060A"/>
    <w:rsid w:val="00630C04"/>
    <w:rsid w:val="006367F1"/>
    <w:rsid w:val="00645F59"/>
    <w:rsid w:val="00646D75"/>
    <w:rsid w:val="00647E5B"/>
    <w:rsid w:val="00647FDD"/>
    <w:rsid w:val="00650155"/>
    <w:rsid w:val="00651137"/>
    <w:rsid w:val="00653101"/>
    <w:rsid w:val="0065785A"/>
    <w:rsid w:val="0066626F"/>
    <w:rsid w:val="00666390"/>
    <w:rsid w:val="00675D11"/>
    <w:rsid w:val="00683CB9"/>
    <w:rsid w:val="00683F30"/>
    <w:rsid w:val="00690C8D"/>
    <w:rsid w:val="00695BC2"/>
    <w:rsid w:val="006970F1"/>
    <w:rsid w:val="006A0974"/>
    <w:rsid w:val="006B0B44"/>
    <w:rsid w:val="006B15CC"/>
    <w:rsid w:val="006B1F53"/>
    <w:rsid w:val="006B376A"/>
    <w:rsid w:val="006B40BE"/>
    <w:rsid w:val="006B41A3"/>
    <w:rsid w:val="006B692C"/>
    <w:rsid w:val="006C0670"/>
    <w:rsid w:val="006C50B3"/>
    <w:rsid w:val="006C6671"/>
    <w:rsid w:val="006D3425"/>
    <w:rsid w:val="006D3912"/>
    <w:rsid w:val="006D41A0"/>
    <w:rsid w:val="006D693A"/>
    <w:rsid w:val="006E3820"/>
    <w:rsid w:val="006E5BAF"/>
    <w:rsid w:val="006F082F"/>
    <w:rsid w:val="006F19C6"/>
    <w:rsid w:val="006F1B09"/>
    <w:rsid w:val="006F2AAD"/>
    <w:rsid w:val="006F420B"/>
    <w:rsid w:val="006F7DBB"/>
    <w:rsid w:val="00701F99"/>
    <w:rsid w:val="00710E96"/>
    <w:rsid w:val="007154E8"/>
    <w:rsid w:val="00726D1D"/>
    <w:rsid w:val="0073294D"/>
    <w:rsid w:val="007352FA"/>
    <w:rsid w:val="007371C6"/>
    <w:rsid w:val="007423C5"/>
    <w:rsid w:val="00752D85"/>
    <w:rsid w:val="0075644B"/>
    <w:rsid w:val="00770754"/>
    <w:rsid w:val="0077285F"/>
    <w:rsid w:val="007754EE"/>
    <w:rsid w:val="00781BE7"/>
    <w:rsid w:val="007A4AE4"/>
    <w:rsid w:val="007B10E0"/>
    <w:rsid w:val="007C4B89"/>
    <w:rsid w:val="007C6913"/>
    <w:rsid w:val="007E0C0E"/>
    <w:rsid w:val="007E0D89"/>
    <w:rsid w:val="007E2714"/>
    <w:rsid w:val="007E3926"/>
    <w:rsid w:val="007E5395"/>
    <w:rsid w:val="007F3F65"/>
    <w:rsid w:val="00806333"/>
    <w:rsid w:val="008103FC"/>
    <w:rsid w:val="0081127B"/>
    <w:rsid w:val="008115EF"/>
    <w:rsid w:val="00811EDA"/>
    <w:rsid w:val="00813556"/>
    <w:rsid w:val="00813C6A"/>
    <w:rsid w:val="00822ADB"/>
    <w:rsid w:val="00830E6B"/>
    <w:rsid w:val="008365C7"/>
    <w:rsid w:val="00836B50"/>
    <w:rsid w:val="00837378"/>
    <w:rsid w:val="00841CCF"/>
    <w:rsid w:val="008430D4"/>
    <w:rsid w:val="0084455A"/>
    <w:rsid w:val="00865A19"/>
    <w:rsid w:val="00870110"/>
    <w:rsid w:val="00872F62"/>
    <w:rsid w:val="00875996"/>
    <w:rsid w:val="00876D92"/>
    <w:rsid w:val="0087737A"/>
    <w:rsid w:val="0088021D"/>
    <w:rsid w:val="00883722"/>
    <w:rsid w:val="00883994"/>
    <w:rsid w:val="00883BA1"/>
    <w:rsid w:val="00884623"/>
    <w:rsid w:val="00887166"/>
    <w:rsid w:val="0089039E"/>
    <w:rsid w:val="00891270"/>
    <w:rsid w:val="008915EA"/>
    <w:rsid w:val="00895258"/>
    <w:rsid w:val="008A434D"/>
    <w:rsid w:val="008A7955"/>
    <w:rsid w:val="008B1313"/>
    <w:rsid w:val="008B181A"/>
    <w:rsid w:val="008B26B6"/>
    <w:rsid w:val="008B5421"/>
    <w:rsid w:val="008B6817"/>
    <w:rsid w:val="008C0CEB"/>
    <w:rsid w:val="008C4A7E"/>
    <w:rsid w:val="008C6748"/>
    <w:rsid w:val="008C7CA5"/>
    <w:rsid w:val="008D555B"/>
    <w:rsid w:val="008E2A17"/>
    <w:rsid w:val="008E2A49"/>
    <w:rsid w:val="008E32CB"/>
    <w:rsid w:val="008E3655"/>
    <w:rsid w:val="008E3AA0"/>
    <w:rsid w:val="008F5775"/>
    <w:rsid w:val="0090185D"/>
    <w:rsid w:val="009020A2"/>
    <w:rsid w:val="0090353F"/>
    <w:rsid w:val="00907614"/>
    <w:rsid w:val="009111EC"/>
    <w:rsid w:val="00912D35"/>
    <w:rsid w:val="00912FC3"/>
    <w:rsid w:val="009205C0"/>
    <w:rsid w:val="0092392B"/>
    <w:rsid w:val="00923E27"/>
    <w:rsid w:val="00925223"/>
    <w:rsid w:val="009265E2"/>
    <w:rsid w:val="00927A91"/>
    <w:rsid w:val="0093019C"/>
    <w:rsid w:val="009313B2"/>
    <w:rsid w:val="00931B58"/>
    <w:rsid w:val="0093252E"/>
    <w:rsid w:val="0093475F"/>
    <w:rsid w:val="009364FE"/>
    <w:rsid w:val="00940620"/>
    <w:rsid w:val="00940BAE"/>
    <w:rsid w:val="00947C68"/>
    <w:rsid w:val="00950037"/>
    <w:rsid w:val="00951151"/>
    <w:rsid w:val="00953BF0"/>
    <w:rsid w:val="00960289"/>
    <w:rsid w:val="0096482F"/>
    <w:rsid w:val="009677E0"/>
    <w:rsid w:val="0097233B"/>
    <w:rsid w:val="009732B3"/>
    <w:rsid w:val="00974E1F"/>
    <w:rsid w:val="009768F1"/>
    <w:rsid w:val="00980D4B"/>
    <w:rsid w:val="00983E70"/>
    <w:rsid w:val="0098497F"/>
    <w:rsid w:val="0098737D"/>
    <w:rsid w:val="009916EE"/>
    <w:rsid w:val="00997F8B"/>
    <w:rsid w:val="009A0C0A"/>
    <w:rsid w:val="009A19FB"/>
    <w:rsid w:val="009A6108"/>
    <w:rsid w:val="009A6C23"/>
    <w:rsid w:val="009A7DE4"/>
    <w:rsid w:val="009B3F71"/>
    <w:rsid w:val="009B4C73"/>
    <w:rsid w:val="009C3447"/>
    <w:rsid w:val="009C773E"/>
    <w:rsid w:val="009D0F6E"/>
    <w:rsid w:val="009D5625"/>
    <w:rsid w:val="009D6B53"/>
    <w:rsid w:val="009E6AEC"/>
    <w:rsid w:val="009F5F9D"/>
    <w:rsid w:val="009F778D"/>
    <w:rsid w:val="00A0740E"/>
    <w:rsid w:val="00A132CF"/>
    <w:rsid w:val="00A25C14"/>
    <w:rsid w:val="00A30702"/>
    <w:rsid w:val="00A30D49"/>
    <w:rsid w:val="00A32FF8"/>
    <w:rsid w:val="00A33CE2"/>
    <w:rsid w:val="00A40A8B"/>
    <w:rsid w:val="00A44B04"/>
    <w:rsid w:val="00A46B3E"/>
    <w:rsid w:val="00A52E67"/>
    <w:rsid w:val="00A54541"/>
    <w:rsid w:val="00A546DE"/>
    <w:rsid w:val="00A62936"/>
    <w:rsid w:val="00A648DA"/>
    <w:rsid w:val="00A7419F"/>
    <w:rsid w:val="00A74B76"/>
    <w:rsid w:val="00A834AF"/>
    <w:rsid w:val="00A84521"/>
    <w:rsid w:val="00A851E2"/>
    <w:rsid w:val="00A86566"/>
    <w:rsid w:val="00A904FE"/>
    <w:rsid w:val="00A90FAE"/>
    <w:rsid w:val="00A953F7"/>
    <w:rsid w:val="00AA1953"/>
    <w:rsid w:val="00AA27FC"/>
    <w:rsid w:val="00AA376F"/>
    <w:rsid w:val="00AA4F84"/>
    <w:rsid w:val="00AA6906"/>
    <w:rsid w:val="00AA7194"/>
    <w:rsid w:val="00AA7D4F"/>
    <w:rsid w:val="00AA7FE5"/>
    <w:rsid w:val="00AB72BB"/>
    <w:rsid w:val="00AB77B3"/>
    <w:rsid w:val="00AC1532"/>
    <w:rsid w:val="00AC2272"/>
    <w:rsid w:val="00AC6B6E"/>
    <w:rsid w:val="00AD13CC"/>
    <w:rsid w:val="00AD6883"/>
    <w:rsid w:val="00AE38D2"/>
    <w:rsid w:val="00AE3DC5"/>
    <w:rsid w:val="00AF06BC"/>
    <w:rsid w:val="00AF094D"/>
    <w:rsid w:val="00AF1142"/>
    <w:rsid w:val="00B037C5"/>
    <w:rsid w:val="00B04545"/>
    <w:rsid w:val="00B057BE"/>
    <w:rsid w:val="00B06824"/>
    <w:rsid w:val="00B12545"/>
    <w:rsid w:val="00B15580"/>
    <w:rsid w:val="00B15CDC"/>
    <w:rsid w:val="00B32EBF"/>
    <w:rsid w:val="00B357A3"/>
    <w:rsid w:val="00B3647D"/>
    <w:rsid w:val="00B3686C"/>
    <w:rsid w:val="00B37470"/>
    <w:rsid w:val="00B45AC1"/>
    <w:rsid w:val="00B5204C"/>
    <w:rsid w:val="00B5371C"/>
    <w:rsid w:val="00B62B2E"/>
    <w:rsid w:val="00B66419"/>
    <w:rsid w:val="00B671AD"/>
    <w:rsid w:val="00B7038F"/>
    <w:rsid w:val="00B72E74"/>
    <w:rsid w:val="00B76395"/>
    <w:rsid w:val="00B77C9E"/>
    <w:rsid w:val="00B8028D"/>
    <w:rsid w:val="00B83E7D"/>
    <w:rsid w:val="00B85A73"/>
    <w:rsid w:val="00B85F6B"/>
    <w:rsid w:val="00B8613A"/>
    <w:rsid w:val="00B906C5"/>
    <w:rsid w:val="00B92E04"/>
    <w:rsid w:val="00B9643F"/>
    <w:rsid w:val="00B973E7"/>
    <w:rsid w:val="00BA0680"/>
    <w:rsid w:val="00BA4792"/>
    <w:rsid w:val="00BB1DBD"/>
    <w:rsid w:val="00BB4417"/>
    <w:rsid w:val="00BC19DA"/>
    <w:rsid w:val="00BC40C2"/>
    <w:rsid w:val="00BC63A5"/>
    <w:rsid w:val="00BC79AE"/>
    <w:rsid w:val="00BD0811"/>
    <w:rsid w:val="00BD1838"/>
    <w:rsid w:val="00BD20B2"/>
    <w:rsid w:val="00BD2D0A"/>
    <w:rsid w:val="00BD2D13"/>
    <w:rsid w:val="00BD3B8D"/>
    <w:rsid w:val="00BD4DBC"/>
    <w:rsid w:val="00BD7452"/>
    <w:rsid w:val="00BE144D"/>
    <w:rsid w:val="00BE3569"/>
    <w:rsid w:val="00BF3145"/>
    <w:rsid w:val="00BF4FC4"/>
    <w:rsid w:val="00BF67CD"/>
    <w:rsid w:val="00C02A16"/>
    <w:rsid w:val="00C0347B"/>
    <w:rsid w:val="00C06E8D"/>
    <w:rsid w:val="00C07D0C"/>
    <w:rsid w:val="00C11907"/>
    <w:rsid w:val="00C13080"/>
    <w:rsid w:val="00C145CE"/>
    <w:rsid w:val="00C169F3"/>
    <w:rsid w:val="00C1776A"/>
    <w:rsid w:val="00C17925"/>
    <w:rsid w:val="00C224CB"/>
    <w:rsid w:val="00C31A50"/>
    <w:rsid w:val="00C33AA4"/>
    <w:rsid w:val="00C33C9C"/>
    <w:rsid w:val="00C3624A"/>
    <w:rsid w:val="00C377D3"/>
    <w:rsid w:val="00C419A0"/>
    <w:rsid w:val="00C5082F"/>
    <w:rsid w:val="00C52FC2"/>
    <w:rsid w:val="00C6089D"/>
    <w:rsid w:val="00C61769"/>
    <w:rsid w:val="00C63180"/>
    <w:rsid w:val="00C64992"/>
    <w:rsid w:val="00C658A2"/>
    <w:rsid w:val="00C66C04"/>
    <w:rsid w:val="00C76C8E"/>
    <w:rsid w:val="00C77A3E"/>
    <w:rsid w:val="00C873BA"/>
    <w:rsid w:val="00CA0490"/>
    <w:rsid w:val="00CA5622"/>
    <w:rsid w:val="00CA7D93"/>
    <w:rsid w:val="00CC1AEF"/>
    <w:rsid w:val="00CC7411"/>
    <w:rsid w:val="00CC7A8F"/>
    <w:rsid w:val="00CD0BF0"/>
    <w:rsid w:val="00CD117C"/>
    <w:rsid w:val="00CD1CF9"/>
    <w:rsid w:val="00CD31EB"/>
    <w:rsid w:val="00CD505F"/>
    <w:rsid w:val="00CE150B"/>
    <w:rsid w:val="00CF0524"/>
    <w:rsid w:val="00CF0639"/>
    <w:rsid w:val="00D03CF6"/>
    <w:rsid w:val="00D0798D"/>
    <w:rsid w:val="00D145A5"/>
    <w:rsid w:val="00D268F2"/>
    <w:rsid w:val="00D30E97"/>
    <w:rsid w:val="00D35242"/>
    <w:rsid w:val="00D35E42"/>
    <w:rsid w:val="00D41402"/>
    <w:rsid w:val="00D43C37"/>
    <w:rsid w:val="00D44C07"/>
    <w:rsid w:val="00D45D8C"/>
    <w:rsid w:val="00D47F24"/>
    <w:rsid w:val="00D508F6"/>
    <w:rsid w:val="00D54359"/>
    <w:rsid w:val="00D60116"/>
    <w:rsid w:val="00D6072B"/>
    <w:rsid w:val="00D63B5F"/>
    <w:rsid w:val="00D674EB"/>
    <w:rsid w:val="00D7141D"/>
    <w:rsid w:val="00D73BD6"/>
    <w:rsid w:val="00D77A93"/>
    <w:rsid w:val="00D82C0C"/>
    <w:rsid w:val="00D8325E"/>
    <w:rsid w:val="00D846B8"/>
    <w:rsid w:val="00D86485"/>
    <w:rsid w:val="00D8729C"/>
    <w:rsid w:val="00D901A0"/>
    <w:rsid w:val="00D92090"/>
    <w:rsid w:val="00D9424D"/>
    <w:rsid w:val="00D96BB4"/>
    <w:rsid w:val="00D978CB"/>
    <w:rsid w:val="00DA02FC"/>
    <w:rsid w:val="00DA2CB1"/>
    <w:rsid w:val="00DA385B"/>
    <w:rsid w:val="00DA42AC"/>
    <w:rsid w:val="00DA6999"/>
    <w:rsid w:val="00DB15F8"/>
    <w:rsid w:val="00DB2307"/>
    <w:rsid w:val="00DB709C"/>
    <w:rsid w:val="00DB70BD"/>
    <w:rsid w:val="00DC48B0"/>
    <w:rsid w:val="00DD0484"/>
    <w:rsid w:val="00DD0CEC"/>
    <w:rsid w:val="00DD267D"/>
    <w:rsid w:val="00DD6DFF"/>
    <w:rsid w:val="00DE0FA6"/>
    <w:rsid w:val="00DE220C"/>
    <w:rsid w:val="00DF39BD"/>
    <w:rsid w:val="00DF629E"/>
    <w:rsid w:val="00E001FD"/>
    <w:rsid w:val="00E01CA4"/>
    <w:rsid w:val="00E070EC"/>
    <w:rsid w:val="00E116F4"/>
    <w:rsid w:val="00E12632"/>
    <w:rsid w:val="00E1383F"/>
    <w:rsid w:val="00E1424F"/>
    <w:rsid w:val="00E20016"/>
    <w:rsid w:val="00E20DF7"/>
    <w:rsid w:val="00E25D61"/>
    <w:rsid w:val="00E25F40"/>
    <w:rsid w:val="00E33224"/>
    <w:rsid w:val="00E37BE0"/>
    <w:rsid w:val="00E4035B"/>
    <w:rsid w:val="00E4472F"/>
    <w:rsid w:val="00E4591F"/>
    <w:rsid w:val="00E45FD9"/>
    <w:rsid w:val="00E46346"/>
    <w:rsid w:val="00E46F44"/>
    <w:rsid w:val="00E478E1"/>
    <w:rsid w:val="00E5042E"/>
    <w:rsid w:val="00E56669"/>
    <w:rsid w:val="00E60440"/>
    <w:rsid w:val="00E626CA"/>
    <w:rsid w:val="00E66CEA"/>
    <w:rsid w:val="00E67EF2"/>
    <w:rsid w:val="00E702E6"/>
    <w:rsid w:val="00E75635"/>
    <w:rsid w:val="00E81881"/>
    <w:rsid w:val="00E82010"/>
    <w:rsid w:val="00E828B5"/>
    <w:rsid w:val="00E842A4"/>
    <w:rsid w:val="00E84E8B"/>
    <w:rsid w:val="00E8558A"/>
    <w:rsid w:val="00E87FF5"/>
    <w:rsid w:val="00E95AFB"/>
    <w:rsid w:val="00EA07D6"/>
    <w:rsid w:val="00EA4174"/>
    <w:rsid w:val="00EA647C"/>
    <w:rsid w:val="00EA68E7"/>
    <w:rsid w:val="00EB176E"/>
    <w:rsid w:val="00EB3C80"/>
    <w:rsid w:val="00EB3FDB"/>
    <w:rsid w:val="00EB4ED3"/>
    <w:rsid w:val="00EC1075"/>
    <w:rsid w:val="00EC15CF"/>
    <w:rsid w:val="00EC4E67"/>
    <w:rsid w:val="00EC59E2"/>
    <w:rsid w:val="00EC7697"/>
    <w:rsid w:val="00ED17A3"/>
    <w:rsid w:val="00ED2461"/>
    <w:rsid w:val="00ED2CF1"/>
    <w:rsid w:val="00ED4895"/>
    <w:rsid w:val="00ED4958"/>
    <w:rsid w:val="00ED7918"/>
    <w:rsid w:val="00EF085B"/>
    <w:rsid w:val="00EF43E3"/>
    <w:rsid w:val="00EF53CC"/>
    <w:rsid w:val="00EF6C3A"/>
    <w:rsid w:val="00F03BF9"/>
    <w:rsid w:val="00F06812"/>
    <w:rsid w:val="00F11B26"/>
    <w:rsid w:val="00F23B5F"/>
    <w:rsid w:val="00F246E2"/>
    <w:rsid w:val="00F2721C"/>
    <w:rsid w:val="00F27AFC"/>
    <w:rsid w:val="00F361D1"/>
    <w:rsid w:val="00F44458"/>
    <w:rsid w:val="00F53561"/>
    <w:rsid w:val="00F53D3D"/>
    <w:rsid w:val="00F615AD"/>
    <w:rsid w:val="00F63177"/>
    <w:rsid w:val="00F64393"/>
    <w:rsid w:val="00F64993"/>
    <w:rsid w:val="00F6705D"/>
    <w:rsid w:val="00F71977"/>
    <w:rsid w:val="00F7740C"/>
    <w:rsid w:val="00F80A31"/>
    <w:rsid w:val="00F82C4C"/>
    <w:rsid w:val="00F85ACD"/>
    <w:rsid w:val="00F90067"/>
    <w:rsid w:val="00F92CC1"/>
    <w:rsid w:val="00F95FF8"/>
    <w:rsid w:val="00F96016"/>
    <w:rsid w:val="00F96344"/>
    <w:rsid w:val="00F97143"/>
    <w:rsid w:val="00FA0169"/>
    <w:rsid w:val="00FA01A6"/>
    <w:rsid w:val="00FA490E"/>
    <w:rsid w:val="00FA61A7"/>
    <w:rsid w:val="00FA7D17"/>
    <w:rsid w:val="00FB55DC"/>
    <w:rsid w:val="00FB575F"/>
    <w:rsid w:val="00FB73D4"/>
    <w:rsid w:val="00FC72F8"/>
    <w:rsid w:val="00FD0C64"/>
    <w:rsid w:val="00FD1032"/>
    <w:rsid w:val="00FD2076"/>
    <w:rsid w:val="00FD3A40"/>
    <w:rsid w:val="00FD69E0"/>
    <w:rsid w:val="00FE0738"/>
    <w:rsid w:val="00FE0965"/>
    <w:rsid w:val="00FE0FDE"/>
    <w:rsid w:val="00FE60EA"/>
    <w:rsid w:val="00FE619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4B53"/>
    <w:pPr>
      <w:widowControl w:val="0"/>
    </w:pPr>
    <w:rPr>
      <w:noProof/>
      <w:color w:val="000000"/>
      <w:sz w:val="24"/>
    </w:rPr>
  </w:style>
  <w:style w:type="paragraph" w:styleId="Titolo1">
    <w:name w:val="heading 1"/>
    <w:basedOn w:val="Normale"/>
    <w:next w:val="Normale"/>
    <w:link w:val="Titolo1Carattere"/>
    <w:autoRedefine/>
    <w:qFormat/>
    <w:rsid w:val="00364B53"/>
    <w:pPr>
      <w:keepNext/>
      <w:pBdr>
        <w:bottom w:val="single" w:sz="4" w:space="1" w:color="FFFFFF"/>
      </w:pBdr>
      <w:spacing w:before="240" w:after="60"/>
      <w:jc w:val="center"/>
      <w:outlineLvl w:val="0"/>
    </w:pPr>
    <w:rPr>
      <w:rFonts w:ascii="Verdana" w:hAnsi="Verdana"/>
      <w:b/>
      <w:bCs/>
      <w:color w:val="000066"/>
      <w:kern w:val="32"/>
      <w:sz w:val="28"/>
      <w:szCs w:val="32"/>
    </w:rPr>
  </w:style>
  <w:style w:type="paragraph" w:styleId="Titolo2">
    <w:name w:val="heading 2"/>
    <w:basedOn w:val="Normale"/>
    <w:next w:val="Normale"/>
    <w:link w:val="Titolo2Carattere"/>
    <w:autoRedefine/>
    <w:qFormat/>
    <w:rsid w:val="00364B53"/>
    <w:pPr>
      <w:keepNext/>
      <w:numPr>
        <w:numId w:val="1"/>
      </w:numPr>
      <w:spacing w:before="240" w:after="60"/>
      <w:outlineLvl w:val="1"/>
    </w:pPr>
    <w:rPr>
      <w:rFonts w:ascii="Verdana" w:hAnsi="Verdana"/>
      <w:bCs/>
      <w:i/>
      <w:iCs/>
      <w:color w:val="000066"/>
      <w:sz w:val="28"/>
      <w:szCs w:val="28"/>
    </w:rPr>
  </w:style>
  <w:style w:type="paragraph" w:styleId="Titolo3">
    <w:name w:val="heading 3"/>
    <w:basedOn w:val="Normale"/>
    <w:next w:val="Normale"/>
    <w:link w:val="Titolo3Carattere"/>
    <w:qFormat/>
    <w:rsid w:val="00364B53"/>
    <w:pPr>
      <w:keepNext/>
      <w:widowControl/>
      <w:outlineLvl w:val="2"/>
    </w:pPr>
    <w:rPr>
      <w:rFonts w:ascii="Tahoma" w:hAnsi="Tahoma" w:cs="Tahoma"/>
      <w:noProof w:val="0"/>
      <w:color w:val="auto"/>
      <w:sz w:val="30"/>
      <w:szCs w:val="24"/>
    </w:rPr>
  </w:style>
  <w:style w:type="paragraph" w:styleId="Titolo4">
    <w:name w:val="heading 4"/>
    <w:basedOn w:val="Normale"/>
    <w:next w:val="Normale"/>
    <w:link w:val="Titolo4Carattere"/>
    <w:qFormat/>
    <w:rsid w:val="000D715E"/>
    <w:pPr>
      <w:keepNext/>
      <w:keepLines/>
      <w:spacing w:before="200"/>
      <w:outlineLvl w:val="3"/>
    </w:pPr>
    <w:rPr>
      <w:rFonts w:ascii="Cambria" w:hAnsi="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364B53"/>
    <w:rPr>
      <w:rFonts w:ascii="Tahoma" w:hAnsi="Tahoma" w:cs="Tahoma"/>
      <w:sz w:val="30"/>
      <w:szCs w:val="24"/>
      <w:lang w:eastAsia="it-IT"/>
    </w:rPr>
  </w:style>
  <w:style w:type="paragraph" w:styleId="Intestazione">
    <w:name w:val="header"/>
    <w:basedOn w:val="Normale"/>
    <w:link w:val="IntestazioneCarattere"/>
    <w:rsid w:val="00364B53"/>
    <w:pPr>
      <w:tabs>
        <w:tab w:val="center" w:pos="4819"/>
        <w:tab w:val="right" w:pos="9638"/>
      </w:tabs>
    </w:pPr>
  </w:style>
  <w:style w:type="character" w:customStyle="1" w:styleId="IntestazioneCarattere">
    <w:name w:val="Intestazione Carattere"/>
    <w:basedOn w:val="Carpredefinitoparagrafo"/>
    <w:link w:val="Intestazione"/>
    <w:rsid w:val="00364B53"/>
    <w:rPr>
      <w:noProof/>
      <w:color w:val="000000"/>
      <w:sz w:val="24"/>
      <w:lang w:eastAsia="it-IT"/>
    </w:rPr>
  </w:style>
  <w:style w:type="paragraph" w:styleId="Pidipagina">
    <w:name w:val="footer"/>
    <w:basedOn w:val="Normale"/>
    <w:link w:val="PidipaginaCarattere"/>
    <w:uiPriority w:val="99"/>
    <w:rsid w:val="00364B53"/>
    <w:pPr>
      <w:tabs>
        <w:tab w:val="center" w:pos="4819"/>
        <w:tab w:val="right" w:pos="9638"/>
      </w:tabs>
    </w:pPr>
  </w:style>
  <w:style w:type="character" w:customStyle="1" w:styleId="PidipaginaCarattere">
    <w:name w:val="Piè di pagina Carattere"/>
    <w:basedOn w:val="Carpredefinitoparagrafo"/>
    <w:link w:val="Pidipagina"/>
    <w:uiPriority w:val="99"/>
    <w:rsid w:val="00364B53"/>
    <w:rPr>
      <w:noProof/>
      <w:color w:val="000000"/>
      <w:sz w:val="24"/>
      <w:lang w:eastAsia="it-IT"/>
    </w:rPr>
  </w:style>
  <w:style w:type="paragraph" w:styleId="Corpodeltesto2">
    <w:name w:val="Body Text 2"/>
    <w:basedOn w:val="Normale"/>
    <w:link w:val="Corpodeltesto2Carattere"/>
    <w:rsid w:val="00364B53"/>
    <w:pPr>
      <w:framePr w:w="5296" w:h="2990" w:hSpace="181" w:wrap="around" w:vAnchor="page" w:hAnchor="page" w:x="408" w:y="705" w:anchorLock="1"/>
      <w:widowControl/>
      <w:jc w:val="center"/>
    </w:pPr>
    <w:rPr>
      <w:smallCaps/>
      <w:noProof w:val="0"/>
      <w:color w:val="auto"/>
      <w:sz w:val="22"/>
    </w:rPr>
  </w:style>
  <w:style w:type="character" w:customStyle="1" w:styleId="Corpodeltesto2Carattere">
    <w:name w:val="Corpo del testo 2 Carattere"/>
    <w:basedOn w:val="Carpredefinitoparagrafo"/>
    <w:link w:val="Corpodeltesto2"/>
    <w:rsid w:val="00364B53"/>
    <w:rPr>
      <w:smallCaps/>
      <w:sz w:val="22"/>
      <w:lang w:eastAsia="it-IT"/>
    </w:rPr>
  </w:style>
  <w:style w:type="character" w:styleId="Collegamentoipertestuale">
    <w:name w:val="Hyperlink"/>
    <w:basedOn w:val="Carpredefinitoparagrafo"/>
    <w:rsid w:val="00364B53"/>
    <w:rPr>
      <w:color w:val="0000FF"/>
      <w:u w:val="single"/>
    </w:rPr>
  </w:style>
  <w:style w:type="paragraph" w:styleId="NormaleWeb">
    <w:name w:val="Normal (Web)"/>
    <w:basedOn w:val="Normale"/>
    <w:uiPriority w:val="99"/>
    <w:rsid w:val="00364B53"/>
    <w:pPr>
      <w:widowControl/>
      <w:spacing w:before="100" w:beforeAutospacing="1" w:after="100" w:afterAutospacing="1"/>
    </w:pPr>
    <w:rPr>
      <w:noProof w:val="0"/>
      <w:color w:val="auto"/>
      <w:szCs w:val="24"/>
    </w:rPr>
  </w:style>
  <w:style w:type="paragraph" w:customStyle="1" w:styleId="Style1">
    <w:name w:val="Style 1"/>
    <w:basedOn w:val="Normale"/>
    <w:rsid w:val="00364B53"/>
    <w:pPr>
      <w:spacing w:line="444" w:lineRule="atLeast"/>
      <w:jc w:val="both"/>
    </w:pPr>
  </w:style>
  <w:style w:type="paragraph" w:customStyle="1" w:styleId="rgsufficio1">
    <w:name w:val="rgs_ufficio1"/>
    <w:basedOn w:val="Normale"/>
    <w:rsid w:val="00364B53"/>
    <w:pPr>
      <w:framePr w:w="5800" w:h="3264" w:hSpace="180" w:wrap="around" w:vAnchor="text" w:hAnchor="page" w:x="509" w:y="-1362"/>
      <w:widowControl/>
      <w:jc w:val="center"/>
    </w:pPr>
    <w:rPr>
      <w:smallCaps/>
      <w:noProof w:val="0"/>
      <w:color w:val="auto"/>
      <w:sz w:val="16"/>
    </w:rPr>
  </w:style>
  <w:style w:type="paragraph" w:customStyle="1" w:styleId="rgsoggetto">
    <w:name w:val="rgs_oggetto"/>
    <w:basedOn w:val="Normale"/>
    <w:rsid w:val="00364B53"/>
    <w:pPr>
      <w:framePr w:w="10204" w:h="973" w:hSpace="181" w:wrap="notBeside" w:vAnchor="text" w:hAnchor="page" w:x="710" w:y="4083"/>
      <w:widowControl/>
      <w:tabs>
        <w:tab w:val="left" w:pos="-2200"/>
        <w:tab w:val="left" w:pos="1000"/>
      </w:tabs>
      <w:ind w:left="1000" w:hanging="1000"/>
    </w:pPr>
    <w:rPr>
      <w:noProof w:val="0"/>
      <w:color w:val="auto"/>
    </w:rPr>
  </w:style>
  <w:style w:type="character" w:customStyle="1" w:styleId="rgslogo">
    <w:name w:val="rgs_logo"/>
    <w:basedOn w:val="Carpredefinitoparagrafo"/>
    <w:rsid w:val="00364B53"/>
    <w:rPr>
      <w:rFonts w:ascii="Kunstler Script" w:hAnsi="Kunstler Script"/>
      <w:sz w:val="64"/>
    </w:rPr>
  </w:style>
  <w:style w:type="character" w:customStyle="1" w:styleId="Titolo2Carattere">
    <w:name w:val="Titolo 2 Carattere"/>
    <w:basedOn w:val="Carpredefinitoparagrafo"/>
    <w:link w:val="Titolo2"/>
    <w:rsid w:val="00364B53"/>
    <w:rPr>
      <w:rFonts w:ascii="Verdana" w:eastAsia="Times New Roman" w:hAnsi="Verdana" w:cs="Times New Roman"/>
      <w:bCs/>
      <w:i/>
      <w:iCs/>
      <w:noProof/>
      <w:color w:val="000066"/>
      <w:sz w:val="28"/>
      <w:szCs w:val="28"/>
      <w:lang w:eastAsia="it-IT"/>
    </w:rPr>
  </w:style>
  <w:style w:type="character" w:customStyle="1" w:styleId="Titolo1Carattere">
    <w:name w:val="Titolo 1 Carattere"/>
    <w:basedOn w:val="Carpredefinitoparagrafo"/>
    <w:link w:val="Titolo1"/>
    <w:rsid w:val="00364B53"/>
    <w:rPr>
      <w:rFonts w:ascii="Verdana" w:eastAsia="Times New Roman" w:hAnsi="Verdana" w:cs="Times New Roman"/>
      <w:b/>
      <w:bCs/>
      <w:noProof/>
      <w:color w:val="000066"/>
      <w:kern w:val="32"/>
      <w:sz w:val="28"/>
      <w:szCs w:val="32"/>
      <w:lang w:eastAsia="it-IT"/>
    </w:rPr>
  </w:style>
  <w:style w:type="table" w:styleId="Grigliatabella">
    <w:name w:val="Table Grid"/>
    <w:basedOn w:val="Tabellanormale"/>
    <w:rsid w:val="00364B5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itolodellibro">
    <w:name w:val="Book Title"/>
    <w:basedOn w:val="Carpredefinitoparagrafo"/>
    <w:uiPriority w:val="33"/>
    <w:qFormat/>
    <w:rsid w:val="00364B53"/>
    <w:rPr>
      <w:b/>
      <w:bCs/>
      <w:smallCaps/>
      <w:spacing w:val="5"/>
    </w:rPr>
  </w:style>
  <w:style w:type="paragraph" w:customStyle="1" w:styleId="Istituzionale">
    <w:name w:val="Istituzionale"/>
    <w:next w:val="Normale"/>
    <w:qFormat/>
    <w:rsid w:val="00364B53"/>
    <w:pPr>
      <w:framePr w:hSpace="141" w:wrap="around" w:vAnchor="text" w:hAnchor="page" w:x="1031" w:y="-1456"/>
      <w:spacing w:line="180" w:lineRule="atLeast"/>
      <w:jc w:val="center"/>
    </w:pPr>
    <w:rPr>
      <w:rFonts w:ascii="Kunstler Script" w:hAnsi="Kunstler Script"/>
      <w:color w:val="000080"/>
      <w:sz w:val="40"/>
      <w:szCs w:val="40"/>
    </w:rPr>
  </w:style>
  <w:style w:type="paragraph" w:styleId="Testofumetto">
    <w:name w:val="Balloon Text"/>
    <w:basedOn w:val="Normale"/>
    <w:link w:val="TestofumettoCarattere"/>
    <w:rsid w:val="00500A7A"/>
    <w:rPr>
      <w:rFonts w:ascii="Tahoma" w:hAnsi="Tahoma" w:cs="Tahoma"/>
      <w:sz w:val="16"/>
      <w:szCs w:val="16"/>
    </w:rPr>
  </w:style>
  <w:style w:type="character" w:customStyle="1" w:styleId="TestofumettoCarattere">
    <w:name w:val="Testo fumetto Carattere"/>
    <w:basedOn w:val="Carpredefinitoparagrafo"/>
    <w:link w:val="Testofumetto"/>
    <w:rsid w:val="00500A7A"/>
    <w:rPr>
      <w:rFonts w:ascii="Tahoma" w:hAnsi="Tahoma" w:cs="Tahoma"/>
      <w:noProof/>
      <w:color w:val="000000"/>
      <w:sz w:val="16"/>
      <w:szCs w:val="16"/>
      <w:lang w:eastAsia="it-IT"/>
    </w:rPr>
  </w:style>
  <w:style w:type="character" w:customStyle="1" w:styleId="Titolo4Carattere">
    <w:name w:val="Titolo 4 Carattere"/>
    <w:basedOn w:val="Carpredefinitoparagrafo"/>
    <w:link w:val="Titolo4"/>
    <w:rsid w:val="000D715E"/>
    <w:rPr>
      <w:rFonts w:ascii="Cambria" w:eastAsia="Times New Roman" w:hAnsi="Cambria" w:cs="Times New Roman"/>
      <w:b/>
      <w:bCs/>
      <w:i/>
      <w:iCs/>
      <w:noProof/>
      <w:color w:val="4F81BD"/>
      <w:sz w:val="24"/>
      <w:lang w:eastAsia="it-IT"/>
    </w:rPr>
  </w:style>
  <w:style w:type="character" w:styleId="Enfasigrassetto">
    <w:name w:val="Strong"/>
    <w:basedOn w:val="Carpredefinitoparagrafo"/>
    <w:uiPriority w:val="22"/>
    <w:qFormat/>
    <w:rsid w:val="000D715E"/>
    <w:rPr>
      <w:b/>
      <w:bCs/>
    </w:rPr>
  </w:style>
  <w:style w:type="paragraph" w:styleId="Paragrafoelenco">
    <w:name w:val="List Paragraph"/>
    <w:basedOn w:val="Normale"/>
    <w:uiPriority w:val="34"/>
    <w:qFormat/>
    <w:rsid w:val="00666390"/>
    <w:pPr>
      <w:ind w:left="720"/>
      <w:contextualSpacing/>
    </w:pPr>
  </w:style>
  <w:style w:type="paragraph" w:styleId="Rientrocorpodeltesto2">
    <w:name w:val="Body Text Indent 2"/>
    <w:basedOn w:val="Normale"/>
    <w:link w:val="Rientrocorpodeltesto2Carattere"/>
    <w:rsid w:val="0000382B"/>
    <w:pPr>
      <w:spacing w:after="120" w:line="480" w:lineRule="auto"/>
      <w:ind w:left="283"/>
    </w:pPr>
  </w:style>
  <w:style w:type="character" w:customStyle="1" w:styleId="Rientrocorpodeltesto2Carattere">
    <w:name w:val="Rientro corpo del testo 2 Carattere"/>
    <w:basedOn w:val="Carpredefinitoparagrafo"/>
    <w:link w:val="Rientrocorpodeltesto2"/>
    <w:rsid w:val="0000382B"/>
    <w:rPr>
      <w:noProof/>
      <w:color w:val="000000"/>
      <w:sz w:val="24"/>
      <w:lang w:eastAsia="it-IT"/>
    </w:rPr>
  </w:style>
  <w:style w:type="paragraph" w:styleId="Rientronormale">
    <w:name w:val="Normal Indent"/>
    <w:basedOn w:val="Normale"/>
    <w:autoRedefine/>
    <w:unhideWhenUsed/>
    <w:rsid w:val="0000382B"/>
    <w:pPr>
      <w:widowControl/>
      <w:spacing w:after="120"/>
      <w:ind w:left="709"/>
      <w:jc w:val="both"/>
    </w:pPr>
    <w:rPr>
      <w:rFonts w:ascii="Arial" w:hAnsi="Arial" w:cs="Arial"/>
      <w:bCs/>
      <w:noProof w:val="0"/>
      <w:color w:val="auto"/>
      <w:spacing w:val="-5"/>
    </w:rPr>
  </w:style>
  <w:style w:type="character" w:styleId="Rimandonotaapidipagina">
    <w:name w:val="footnote reference"/>
    <w:basedOn w:val="Carpredefinitoparagrafo"/>
    <w:unhideWhenUsed/>
    <w:rsid w:val="0000382B"/>
    <w:rPr>
      <w:vertAlign w:val="superscript"/>
    </w:rPr>
  </w:style>
  <w:style w:type="paragraph" w:styleId="Corpodeltesto">
    <w:name w:val="Body Text"/>
    <w:basedOn w:val="Normale"/>
    <w:link w:val="CorpodeltestoCarattere"/>
    <w:rsid w:val="005C204C"/>
    <w:pPr>
      <w:spacing w:after="120"/>
    </w:pPr>
  </w:style>
  <w:style w:type="character" w:customStyle="1" w:styleId="CorpodeltestoCarattere">
    <w:name w:val="Corpo del testo Carattere"/>
    <w:basedOn w:val="Carpredefinitoparagrafo"/>
    <w:link w:val="Corpodeltesto"/>
    <w:rsid w:val="005C204C"/>
    <w:rPr>
      <w:noProof/>
      <w:color w:val="000000"/>
      <w:sz w:val="24"/>
      <w:lang w:eastAsia="it-IT"/>
    </w:rPr>
  </w:style>
  <w:style w:type="paragraph" w:styleId="Testonotaapidipagina">
    <w:name w:val="footnote text"/>
    <w:basedOn w:val="Normale"/>
    <w:link w:val="TestonotaapidipaginaCarattere"/>
    <w:rsid w:val="004C4364"/>
    <w:rPr>
      <w:sz w:val="20"/>
    </w:rPr>
  </w:style>
  <w:style w:type="character" w:customStyle="1" w:styleId="TestonotaapidipaginaCarattere">
    <w:name w:val="Testo nota a piè di pagina Carattere"/>
    <w:basedOn w:val="Carpredefinitoparagrafo"/>
    <w:link w:val="Testonotaapidipagina"/>
    <w:rsid w:val="004C4364"/>
    <w:rPr>
      <w:noProof/>
      <w:color w:val="000000"/>
      <w:lang w:eastAsia="it-IT"/>
    </w:rPr>
  </w:style>
  <w:style w:type="paragraph" w:customStyle="1" w:styleId="AODocTxt">
    <w:name w:val="AODocTxt"/>
    <w:basedOn w:val="Normale"/>
    <w:rsid w:val="00366F35"/>
    <w:pPr>
      <w:widowControl/>
      <w:numPr>
        <w:numId w:val="18"/>
      </w:numPr>
      <w:spacing w:before="240" w:line="260" w:lineRule="atLeast"/>
      <w:jc w:val="both"/>
    </w:pPr>
    <w:rPr>
      <w:rFonts w:eastAsia="SimSun"/>
      <w:noProof w:val="0"/>
      <w:color w:val="auto"/>
      <w:sz w:val="22"/>
      <w:szCs w:val="22"/>
      <w:lang w:val="en-GB" w:eastAsia="en-US"/>
    </w:rPr>
  </w:style>
  <w:style w:type="paragraph" w:customStyle="1" w:styleId="AODocTxtL1">
    <w:name w:val="AODocTxtL1"/>
    <w:basedOn w:val="AODocTxt"/>
    <w:rsid w:val="00366F35"/>
    <w:pPr>
      <w:numPr>
        <w:ilvl w:val="1"/>
      </w:numPr>
    </w:pPr>
  </w:style>
  <w:style w:type="paragraph" w:customStyle="1" w:styleId="AODocTxtL2">
    <w:name w:val="AODocTxtL2"/>
    <w:basedOn w:val="AODocTxt"/>
    <w:rsid w:val="00366F35"/>
    <w:pPr>
      <w:numPr>
        <w:ilvl w:val="2"/>
      </w:numPr>
    </w:pPr>
  </w:style>
  <w:style w:type="paragraph" w:customStyle="1" w:styleId="AODocTxtL3">
    <w:name w:val="AODocTxtL3"/>
    <w:basedOn w:val="AODocTxt"/>
    <w:rsid w:val="00366F35"/>
    <w:pPr>
      <w:numPr>
        <w:ilvl w:val="3"/>
      </w:numPr>
    </w:pPr>
  </w:style>
  <w:style w:type="paragraph" w:customStyle="1" w:styleId="AODocTxtL4">
    <w:name w:val="AODocTxtL4"/>
    <w:basedOn w:val="AODocTxt"/>
    <w:rsid w:val="00366F35"/>
    <w:pPr>
      <w:numPr>
        <w:ilvl w:val="4"/>
      </w:numPr>
    </w:pPr>
  </w:style>
  <w:style w:type="paragraph" w:customStyle="1" w:styleId="AODocTxtL5">
    <w:name w:val="AODocTxtL5"/>
    <w:basedOn w:val="AODocTxt"/>
    <w:rsid w:val="00366F35"/>
    <w:pPr>
      <w:numPr>
        <w:ilvl w:val="5"/>
      </w:numPr>
    </w:pPr>
  </w:style>
  <w:style w:type="paragraph" w:customStyle="1" w:styleId="AODocTxtL6">
    <w:name w:val="AODocTxtL6"/>
    <w:basedOn w:val="AODocTxt"/>
    <w:rsid w:val="00366F35"/>
    <w:pPr>
      <w:numPr>
        <w:ilvl w:val="6"/>
      </w:numPr>
    </w:pPr>
  </w:style>
  <w:style w:type="paragraph" w:customStyle="1" w:styleId="AODocTxtL7">
    <w:name w:val="AODocTxtL7"/>
    <w:basedOn w:val="AODocTxt"/>
    <w:rsid w:val="00366F35"/>
    <w:pPr>
      <w:numPr>
        <w:ilvl w:val="7"/>
      </w:numPr>
    </w:pPr>
  </w:style>
  <w:style w:type="paragraph" w:customStyle="1" w:styleId="AODocTxtL8">
    <w:name w:val="AODocTxtL8"/>
    <w:basedOn w:val="AODocTxt"/>
    <w:rsid w:val="00366F35"/>
    <w:pPr>
      <w:numPr>
        <w:ilvl w:val="8"/>
      </w:numPr>
    </w:pPr>
  </w:style>
  <w:style w:type="character" w:styleId="Rimandocommento">
    <w:name w:val="annotation reference"/>
    <w:basedOn w:val="Carpredefinitoparagrafo"/>
    <w:rsid w:val="003674CC"/>
    <w:rPr>
      <w:sz w:val="16"/>
      <w:szCs w:val="16"/>
    </w:rPr>
  </w:style>
  <w:style w:type="paragraph" w:styleId="Testocommento">
    <w:name w:val="annotation text"/>
    <w:basedOn w:val="Normale"/>
    <w:link w:val="TestocommentoCarattere"/>
    <w:rsid w:val="003674CC"/>
    <w:rPr>
      <w:sz w:val="20"/>
    </w:rPr>
  </w:style>
  <w:style w:type="character" w:customStyle="1" w:styleId="TestocommentoCarattere">
    <w:name w:val="Testo commento Carattere"/>
    <w:basedOn w:val="Carpredefinitoparagrafo"/>
    <w:link w:val="Testocommento"/>
    <w:rsid w:val="003674CC"/>
    <w:rPr>
      <w:noProof/>
      <w:color w:val="000000"/>
      <w:lang w:eastAsia="it-IT"/>
    </w:rPr>
  </w:style>
  <w:style w:type="paragraph" w:styleId="Soggettocommento">
    <w:name w:val="annotation subject"/>
    <w:basedOn w:val="Testocommento"/>
    <w:next w:val="Testocommento"/>
    <w:link w:val="SoggettocommentoCarattere"/>
    <w:rsid w:val="003674CC"/>
    <w:rPr>
      <w:b/>
      <w:bCs/>
    </w:rPr>
  </w:style>
  <w:style w:type="character" w:customStyle="1" w:styleId="SoggettocommentoCarattere">
    <w:name w:val="Soggetto commento Carattere"/>
    <w:basedOn w:val="TestocommentoCarattere"/>
    <w:link w:val="Soggettocommento"/>
    <w:rsid w:val="003674CC"/>
    <w:rPr>
      <w:b/>
      <w:bCs/>
    </w:rPr>
  </w:style>
  <w:style w:type="character" w:styleId="Enfasicorsivo">
    <w:name w:val="Emphasis"/>
    <w:basedOn w:val="Carpredefinitoparagrafo"/>
    <w:qFormat/>
    <w:rsid w:val="00F23B5F"/>
    <w:rPr>
      <w:i/>
      <w:iCs/>
    </w:rPr>
  </w:style>
</w:styles>
</file>

<file path=word/webSettings.xml><?xml version="1.0" encoding="utf-8"?>
<w:webSettings xmlns:r="http://schemas.openxmlformats.org/officeDocument/2006/relationships" xmlns:w="http://schemas.openxmlformats.org/wordprocessingml/2006/main">
  <w:divs>
    <w:div w:id="226769728">
      <w:bodyDiv w:val="1"/>
      <w:marLeft w:val="0"/>
      <w:marRight w:val="0"/>
      <w:marTop w:val="0"/>
      <w:marBottom w:val="0"/>
      <w:divBdr>
        <w:top w:val="none" w:sz="0" w:space="0" w:color="auto"/>
        <w:left w:val="none" w:sz="0" w:space="0" w:color="auto"/>
        <w:bottom w:val="none" w:sz="0" w:space="0" w:color="auto"/>
        <w:right w:val="none" w:sz="0" w:space="0" w:color="auto"/>
      </w:divBdr>
    </w:div>
    <w:div w:id="1152214560">
      <w:bodyDiv w:val="1"/>
      <w:marLeft w:val="0"/>
      <w:marRight w:val="0"/>
      <w:marTop w:val="0"/>
      <w:marBottom w:val="0"/>
      <w:divBdr>
        <w:top w:val="none" w:sz="0" w:space="0" w:color="auto"/>
        <w:left w:val="none" w:sz="0" w:space="0" w:color="auto"/>
        <w:bottom w:val="none" w:sz="0" w:space="0" w:color="auto"/>
        <w:right w:val="none" w:sz="0" w:space="0" w:color="auto"/>
      </w:divBdr>
      <w:divsChild>
        <w:div w:id="1976138822">
          <w:marLeft w:val="0"/>
          <w:marRight w:val="0"/>
          <w:marTop w:val="0"/>
          <w:marBottom w:val="0"/>
          <w:divBdr>
            <w:top w:val="none" w:sz="0" w:space="0" w:color="auto"/>
            <w:left w:val="none" w:sz="0" w:space="0" w:color="auto"/>
            <w:bottom w:val="none" w:sz="0" w:space="0" w:color="auto"/>
            <w:right w:val="none" w:sz="0" w:space="0" w:color="auto"/>
          </w:divBdr>
        </w:div>
      </w:divsChild>
    </w:div>
    <w:div w:id="1181160227">
      <w:bodyDiv w:val="1"/>
      <w:marLeft w:val="0"/>
      <w:marRight w:val="0"/>
      <w:marTop w:val="0"/>
      <w:marBottom w:val="0"/>
      <w:divBdr>
        <w:top w:val="none" w:sz="0" w:space="0" w:color="auto"/>
        <w:left w:val="none" w:sz="0" w:space="0" w:color="auto"/>
        <w:bottom w:val="none" w:sz="0" w:space="0" w:color="auto"/>
        <w:right w:val="none" w:sz="0" w:space="0" w:color="auto"/>
      </w:divBdr>
      <w:divsChild>
        <w:div w:id="1272855861">
          <w:marLeft w:val="0"/>
          <w:marRight w:val="0"/>
          <w:marTop w:val="0"/>
          <w:marBottom w:val="0"/>
          <w:divBdr>
            <w:top w:val="none" w:sz="0" w:space="0" w:color="auto"/>
            <w:left w:val="none" w:sz="0" w:space="0" w:color="auto"/>
            <w:bottom w:val="none" w:sz="0" w:space="0" w:color="auto"/>
            <w:right w:val="none" w:sz="0" w:space="0" w:color="auto"/>
          </w:divBdr>
        </w:div>
      </w:divsChild>
    </w:div>
    <w:div w:id="1199510280">
      <w:bodyDiv w:val="1"/>
      <w:marLeft w:val="0"/>
      <w:marRight w:val="0"/>
      <w:marTop w:val="0"/>
      <w:marBottom w:val="0"/>
      <w:divBdr>
        <w:top w:val="none" w:sz="0" w:space="0" w:color="auto"/>
        <w:left w:val="none" w:sz="0" w:space="0" w:color="auto"/>
        <w:bottom w:val="none" w:sz="0" w:space="0" w:color="auto"/>
        <w:right w:val="none" w:sz="0" w:space="0" w:color="auto"/>
      </w:divBdr>
      <w:divsChild>
        <w:div w:id="1323967065">
          <w:marLeft w:val="0"/>
          <w:marRight w:val="0"/>
          <w:marTop w:val="0"/>
          <w:marBottom w:val="100"/>
          <w:divBdr>
            <w:top w:val="single" w:sz="24" w:space="0" w:color="FFFFFF"/>
            <w:left w:val="single" w:sz="24" w:space="0" w:color="FFFFFF"/>
            <w:bottom w:val="single" w:sz="24" w:space="0" w:color="FFFFFF"/>
            <w:right w:val="single" w:sz="24" w:space="0" w:color="FFFFFF"/>
          </w:divBdr>
          <w:divsChild>
            <w:div w:id="576284968">
              <w:marLeft w:val="0"/>
              <w:marRight w:val="0"/>
              <w:marTop w:val="64"/>
              <w:marBottom w:val="64"/>
              <w:divBdr>
                <w:top w:val="none" w:sz="0" w:space="0" w:color="auto"/>
                <w:left w:val="none" w:sz="0" w:space="0" w:color="auto"/>
                <w:bottom w:val="none" w:sz="0" w:space="0" w:color="auto"/>
                <w:right w:val="none" w:sz="0" w:space="0" w:color="auto"/>
              </w:divBdr>
              <w:divsChild>
                <w:div w:id="1459375884">
                  <w:marLeft w:val="0"/>
                  <w:marRight w:val="0"/>
                  <w:marTop w:val="0"/>
                  <w:marBottom w:val="0"/>
                  <w:divBdr>
                    <w:top w:val="none" w:sz="0" w:space="0" w:color="auto"/>
                    <w:left w:val="single" w:sz="8" w:space="3" w:color="CCCCFF"/>
                    <w:bottom w:val="none" w:sz="0" w:space="0" w:color="auto"/>
                    <w:right w:val="none" w:sz="0" w:space="0" w:color="auto"/>
                  </w:divBdr>
                </w:div>
              </w:divsChild>
            </w:div>
          </w:divsChild>
        </w:div>
      </w:divsChild>
    </w:div>
    <w:div w:id="186682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romano\Impostazioni%20locali\Temporary%20Internet%20Files\Content.Outlook\PPRJXQQT\Template%20lettera%20Dirigenti%20OSAM%20UPPR.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lettera Dirigenti OSAM UPPR</Template>
  <TotalTime>9</TotalTime>
  <Pages>1</Pages>
  <Words>5082</Words>
  <Characters>28970</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f.romano</dc:creator>
  <cp:keywords/>
  <dc:description/>
  <cp:lastModifiedBy>FINCO</cp:lastModifiedBy>
  <cp:revision>9</cp:revision>
  <cp:lastPrinted>2010-05-07T08:03:00Z</cp:lastPrinted>
  <dcterms:created xsi:type="dcterms:W3CDTF">2010-02-18T09:19:00Z</dcterms:created>
  <dcterms:modified xsi:type="dcterms:W3CDTF">2010-05-07T08:03:00Z</dcterms:modified>
</cp:coreProperties>
</file>